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val="0"/>
        <w:snapToGrid w:val="0"/>
        <w:spacing w:line="500" w:lineRule="exact"/>
        <w:ind w:leftChars="0"/>
        <w:jc w:val="both"/>
        <w:textAlignment w:val="auto"/>
        <w:rPr>
          <w:rFonts w:hint="eastAsia" w:ascii="Times New Roman" w:hAnsi="Times New Roman" w:eastAsia="黑体" w:cs="黑体"/>
          <w:snapToGrid w:val="0"/>
          <w:color w:val="000000"/>
          <w:sz w:val="32"/>
          <w:szCs w:val="32"/>
        </w:rPr>
      </w:pPr>
      <w:r>
        <w:rPr>
          <w:rFonts w:hint="eastAsia" w:ascii="Times New Roman" w:hAnsi="Times New Roman" w:eastAsia="黑体" w:cs="黑体"/>
          <w:snapToGrid w:val="0"/>
          <w:color w:val="000000"/>
          <w:sz w:val="32"/>
          <w:szCs w:val="32"/>
        </w:rPr>
        <w:t>附件1</w:t>
      </w:r>
    </w:p>
    <w:p>
      <w:pPr>
        <w:keepNext w:val="0"/>
        <w:keepLines w:val="0"/>
        <w:pageBreakBefore w:val="0"/>
        <w:widowControl w:val="0"/>
        <w:kinsoku/>
        <w:wordWrap/>
        <w:overflowPunct w:val="0"/>
        <w:topLinePunct w:val="0"/>
        <w:autoSpaceDE/>
        <w:autoSpaceDN/>
        <w:bidi w:val="0"/>
        <w:adjustRightInd w:val="0"/>
        <w:snapToGrid w:val="0"/>
        <w:spacing w:line="500" w:lineRule="exact"/>
        <w:ind w:leftChars="0"/>
        <w:jc w:val="both"/>
        <w:textAlignment w:val="auto"/>
        <w:rPr>
          <w:rFonts w:hint="default" w:ascii="Times New Roman" w:hAnsi="Times New Roman" w:eastAsia="黑体" w:cs="黑体"/>
          <w:snapToGrid w:val="0"/>
          <w:color w:val="000000"/>
          <w:sz w:val="32"/>
          <w:szCs w:val="32"/>
        </w:rPr>
      </w:pPr>
    </w:p>
    <w:p>
      <w:pPr>
        <w:keepNext w:val="0"/>
        <w:keepLines w:val="0"/>
        <w:pageBreakBefore w:val="0"/>
        <w:widowControl w:val="0"/>
        <w:kinsoku/>
        <w:wordWrap/>
        <w:overflowPunct w:val="0"/>
        <w:topLinePunct w:val="0"/>
        <w:autoSpaceDE/>
        <w:autoSpaceDN/>
        <w:bidi w:val="0"/>
        <w:adjustRightInd w:val="0"/>
        <w:snapToGrid w:val="0"/>
        <w:spacing w:line="660" w:lineRule="exact"/>
        <w:ind w:leftChars="0"/>
        <w:jc w:val="center"/>
        <w:textAlignment w:val="auto"/>
        <w:rPr>
          <w:rFonts w:hint="eastAsia" w:ascii="Times New Roman" w:hAnsi="Times New Roman" w:eastAsia="方正小标宋简体" w:cs="方正小标宋简体"/>
          <w:snapToGrid w:val="0"/>
          <w:color w:val="000000"/>
          <w:spacing w:val="0"/>
          <w:sz w:val="44"/>
          <w:szCs w:val="44"/>
        </w:rPr>
      </w:pPr>
      <w:r>
        <w:rPr>
          <w:rFonts w:hint="eastAsia" w:ascii="Times New Roman" w:hAnsi="Times New Roman" w:eastAsia="方正小标宋简体" w:cs="方正小标宋简体"/>
          <w:snapToGrid w:val="0"/>
          <w:color w:val="000000"/>
          <w:spacing w:val="0"/>
          <w:sz w:val="44"/>
          <w:szCs w:val="44"/>
        </w:rPr>
        <w:t>部分不合格检验项目小知识</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94" w:lineRule="exact"/>
        <w:textAlignment w:val="auto"/>
        <w:rPr>
          <w:rFonts w:hint="default" w:ascii="Times New Roman" w:hAnsi="Times New Roman" w:eastAsia="仿宋_GB2312" w:cs="Times New Roman"/>
          <w:color w:val="000000"/>
          <w:sz w:val="32"/>
          <w:szCs w:val="32"/>
          <w:lang w:eastAsia="zh-CN"/>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94" w:lineRule="exact"/>
        <w:ind w:right="0" w:rightChars="0" w:firstLine="640" w:firstLineChars="200"/>
        <w:jc w:val="both"/>
        <w:textAlignment w:val="auto"/>
        <w:rPr>
          <w:rFonts w:hint="eastAsia" w:ascii="Times New Roman" w:hAnsi="Times New Roman" w:eastAsia="黑体" w:cs="黑体"/>
          <w:snapToGrid w:val="0"/>
          <w:color w:val="000000"/>
          <w:sz w:val="32"/>
          <w:szCs w:val="32"/>
          <w:highlight w:val="none"/>
          <w:lang w:eastAsia="zh-CN"/>
        </w:rPr>
      </w:pPr>
      <w:r>
        <w:rPr>
          <w:rFonts w:hint="eastAsia" w:ascii="Times New Roman" w:hAnsi="Times New Roman" w:eastAsia="黑体" w:cs="黑体"/>
          <w:snapToGrid w:val="0"/>
          <w:color w:val="000000"/>
          <w:spacing w:val="0"/>
          <w:sz w:val="32"/>
          <w:szCs w:val="32"/>
          <w:highlight w:val="none"/>
          <w:lang w:val="en-US" w:eastAsia="zh-CN"/>
        </w:rPr>
        <w:t>一</w:t>
      </w:r>
      <w:r>
        <w:rPr>
          <w:rFonts w:hint="eastAsia" w:ascii="Times New Roman" w:hAnsi="Times New Roman" w:eastAsia="黑体" w:cs="黑体"/>
          <w:snapToGrid w:val="0"/>
          <w:color w:val="000000"/>
          <w:spacing w:val="0"/>
          <w:sz w:val="32"/>
          <w:szCs w:val="32"/>
          <w:highlight w:val="none"/>
        </w:rPr>
        <w:t>、</w:t>
      </w:r>
      <w:r>
        <w:rPr>
          <w:rFonts w:hint="eastAsia" w:ascii="Times New Roman" w:hAnsi="Times New Roman" w:eastAsia="黑体" w:cs="黑体"/>
          <w:snapToGrid w:val="0"/>
          <w:color w:val="000000"/>
          <w:sz w:val="32"/>
          <w:szCs w:val="32"/>
          <w:highlight w:val="none"/>
          <w:lang w:eastAsia="zh-CN"/>
        </w:rPr>
        <w:t>山梨酸及其钾盐（以山梨酸计）</w:t>
      </w:r>
    </w:p>
    <w:p>
      <w:pPr>
        <w:numPr>
          <w:ilvl w:val="0"/>
          <w:numId w:val="0"/>
        </w:numPr>
        <w:topLinePunct w:val="0"/>
        <w:adjustRightInd w:val="0"/>
        <w:snapToGrid w:val="0"/>
        <w:spacing w:line="594" w:lineRule="exact"/>
        <w:ind w:firstLine="664" w:firstLineChars="200"/>
        <w:rPr>
          <w:rFonts w:hint="default" w:ascii="Times New Roman" w:hAnsi="Times New Roman" w:eastAsia="仿宋_GB2312" w:cs="Times New Roman"/>
          <w:color w:val="000000"/>
          <w:spacing w:val="0"/>
          <w:sz w:val="32"/>
          <w:szCs w:val="32"/>
          <w:highlight w:val="none"/>
        </w:rPr>
      </w:pPr>
      <w:r>
        <w:rPr>
          <w:rFonts w:hint="eastAsia" w:ascii="Times New Roman" w:hAnsi="Times New Roman" w:eastAsia="仿宋_GB2312" w:cs="仿宋_GB2312"/>
          <w:snapToGrid w:val="0"/>
          <w:color w:val="000000"/>
          <w:spacing w:val="6"/>
          <w:sz w:val="32"/>
          <w:szCs w:val="32"/>
          <w:lang w:eastAsia="zh-CN"/>
        </w:rPr>
        <w:t>山梨酸及其钾盐抗菌性强，防腐效果好，是目前应用非常广泛的食品防腐剂。</w:t>
      </w:r>
      <w:r>
        <w:rPr>
          <w:rFonts w:hint="eastAsia" w:ascii="Times New Roman" w:hAnsi="Times New Roman" w:eastAsia="仿宋_GB2312" w:cs="仿宋_GB2312"/>
          <w:snapToGrid w:val="0"/>
          <w:color w:val="000000"/>
          <w:spacing w:val="0"/>
          <w:sz w:val="32"/>
          <w:szCs w:val="32"/>
          <w:highlight w:val="none"/>
        </w:rPr>
        <w:t>《食品安全国家标准 食品添加剂使用标准》（GB 2760</w:t>
      </w:r>
      <w:bookmarkStart w:id="0" w:name="_GoBack"/>
      <w:bookmarkEnd w:id="0"/>
      <w:r>
        <w:rPr>
          <w:rFonts w:hint="eastAsia" w:ascii="Times New Roman" w:hAnsi="Times New Roman" w:eastAsia="仿宋_GB2312" w:cs="仿宋_GB2312"/>
          <w:snapToGrid w:val="0"/>
          <w:color w:val="000000"/>
          <w:spacing w:val="0"/>
          <w:sz w:val="32"/>
          <w:szCs w:val="32"/>
          <w:highlight w:val="none"/>
          <w:lang w:eastAsia="zh-CN"/>
        </w:rPr>
        <w:t>—</w:t>
      </w:r>
      <w:r>
        <w:rPr>
          <w:rFonts w:hint="eastAsia" w:ascii="Times New Roman" w:hAnsi="Times New Roman" w:eastAsia="仿宋_GB2312" w:cs="仿宋_GB2312"/>
          <w:snapToGrid w:val="0"/>
          <w:color w:val="000000"/>
          <w:spacing w:val="0"/>
          <w:sz w:val="32"/>
          <w:szCs w:val="32"/>
          <w:highlight w:val="none"/>
        </w:rPr>
        <w:t>20</w:t>
      </w:r>
      <w:r>
        <w:rPr>
          <w:rFonts w:hint="eastAsia" w:ascii="Times New Roman" w:hAnsi="Times New Roman" w:eastAsia="仿宋_GB2312" w:cs="仿宋_GB2312"/>
          <w:snapToGrid w:val="0"/>
          <w:color w:val="000000"/>
          <w:spacing w:val="0"/>
          <w:sz w:val="32"/>
          <w:szCs w:val="32"/>
          <w:highlight w:val="none"/>
          <w:lang w:val="en-US" w:eastAsia="zh-CN"/>
        </w:rPr>
        <w:t>2</w:t>
      </w:r>
      <w:r>
        <w:rPr>
          <w:rFonts w:hint="eastAsia" w:ascii="Times New Roman" w:hAnsi="Times New Roman" w:eastAsia="仿宋_GB2312" w:cs="仿宋_GB2312"/>
          <w:snapToGrid w:val="0"/>
          <w:color w:val="000000"/>
          <w:spacing w:val="0"/>
          <w:sz w:val="32"/>
          <w:szCs w:val="32"/>
          <w:highlight w:val="none"/>
        </w:rPr>
        <w:t>4）中规定，</w:t>
      </w:r>
      <w:r>
        <w:rPr>
          <w:rFonts w:hint="eastAsia" w:ascii="Times New Roman" w:hAnsi="Times New Roman" w:eastAsia="仿宋_GB2312" w:cs="仿宋_GB2312"/>
          <w:color w:val="000000"/>
          <w:spacing w:val="0"/>
          <w:sz w:val="32"/>
          <w:szCs w:val="32"/>
          <w:highlight w:val="none"/>
          <w:lang w:val="en-US" w:eastAsia="zh-CN"/>
        </w:rPr>
        <w:t>饮料类[包装饮用水、果蔬汁（浆）除外]中山梨酸及其钾盐（以山梨酸计）最大使用量应≤0.5g/kg，调理肉制品、发酵蔬菜制品中不得使用山梨酸及其钾盐，糕点、复合调味料中山梨酸及其钾盐（以山梨酸计）的最大使用量为1.0g/kg</w:t>
      </w:r>
      <w:r>
        <w:rPr>
          <w:rFonts w:hint="eastAsia" w:ascii="Times New Roman" w:hAnsi="Times New Roman" w:eastAsia="仿宋_GB2312" w:cs="仿宋_GB2312"/>
          <w:color w:val="000000"/>
          <w:spacing w:val="0"/>
          <w:sz w:val="32"/>
          <w:szCs w:val="32"/>
          <w:lang w:val="en-US" w:eastAsia="zh-CN"/>
        </w:rPr>
        <w:t>。</w:t>
      </w:r>
      <w:r>
        <w:rPr>
          <w:rFonts w:hint="eastAsia" w:ascii="Times New Roman" w:hAnsi="Times New Roman" w:eastAsia="仿宋_GB2312" w:cs="仿宋_GB2312"/>
          <w:color w:val="000000"/>
          <w:sz w:val="32"/>
          <w:szCs w:val="32"/>
          <w:highlight w:val="none"/>
          <w:lang w:val="en-US" w:eastAsia="zh-CN"/>
        </w:rPr>
        <w:t>“金银花炖雪梨饮料”中</w:t>
      </w:r>
      <w:r>
        <w:rPr>
          <w:rFonts w:hint="eastAsia" w:ascii="Times New Roman" w:hAnsi="Times New Roman" w:eastAsia="仿宋_GB2312" w:cs="仿宋_GB2312"/>
          <w:color w:val="000000"/>
          <w:spacing w:val="0"/>
          <w:sz w:val="32"/>
          <w:szCs w:val="32"/>
          <w:highlight w:val="none"/>
          <w:lang w:val="en-US" w:eastAsia="zh-CN"/>
        </w:rPr>
        <w:t>山梨酸及其钾盐（以山梨酸计）</w:t>
      </w:r>
      <w:r>
        <w:rPr>
          <w:rFonts w:hint="eastAsia" w:ascii="Times New Roman" w:hAnsi="Times New Roman" w:eastAsia="仿宋_GB2312" w:cs="仿宋_GB2312"/>
          <w:color w:val="000000"/>
          <w:sz w:val="32"/>
          <w:szCs w:val="32"/>
          <w:highlight w:val="none"/>
          <w:lang w:val="en-US" w:eastAsia="zh-CN"/>
        </w:rPr>
        <w:t>检验值符合食品安全国家标准规定，但不符合产品标签标示要求“不添加防腐剂”。</w:t>
      </w:r>
      <w:r>
        <w:rPr>
          <w:rFonts w:hint="eastAsia" w:ascii="Times New Roman" w:hAnsi="Times New Roman" w:eastAsia="仿宋_GB2312" w:cs="仿宋_GB2312"/>
          <w:b w:val="0"/>
          <w:bCs w:val="0"/>
          <w:color w:val="000000"/>
          <w:sz w:val="32"/>
          <w:szCs w:val="32"/>
          <w:highlight w:val="none"/>
          <w:lang w:val="en-US" w:eastAsia="zh-CN"/>
        </w:rPr>
        <w:t>果蔬汁饮料、</w:t>
      </w:r>
      <w:r>
        <w:rPr>
          <w:rFonts w:hint="eastAsia" w:ascii="Times New Roman" w:hAnsi="Times New Roman" w:eastAsia="仿宋_GB2312" w:cs="仿宋_GB2312"/>
          <w:color w:val="000000"/>
          <w:spacing w:val="0"/>
          <w:sz w:val="32"/>
          <w:szCs w:val="32"/>
          <w:highlight w:val="none"/>
          <w:lang w:val="en-US" w:eastAsia="zh-CN"/>
        </w:rPr>
        <w:t>调理肉制品、发酵蔬菜制品、糕点、复合调味料中山梨酸及其钾盐（以山梨酸计）检验值超标</w:t>
      </w:r>
      <w:r>
        <w:rPr>
          <w:rFonts w:hint="eastAsia" w:ascii="Times New Roman" w:hAnsi="Times New Roman" w:eastAsia="仿宋_GB2312" w:cs="仿宋_GB2312"/>
          <w:color w:val="000000"/>
          <w:spacing w:val="0"/>
          <w:sz w:val="32"/>
          <w:szCs w:val="32"/>
          <w:highlight w:val="none"/>
        </w:rPr>
        <w:t>的原因，可能是生产经营企业</w:t>
      </w:r>
      <w:r>
        <w:rPr>
          <w:rFonts w:hint="eastAsia" w:ascii="Times New Roman" w:hAnsi="Times New Roman" w:eastAsia="仿宋_GB2312" w:cs="仿宋_GB2312"/>
          <w:color w:val="000000"/>
          <w:spacing w:val="0"/>
          <w:sz w:val="32"/>
          <w:szCs w:val="32"/>
          <w:highlight w:val="none"/>
          <w:lang w:val="en-US" w:eastAsia="zh-CN"/>
        </w:rPr>
        <w:t>未如实标注产品使用的食品添加剂</w:t>
      </w:r>
      <w:r>
        <w:rPr>
          <w:rFonts w:hint="eastAsia" w:ascii="Times New Roman" w:hAnsi="Times New Roman" w:eastAsia="仿宋_GB2312" w:cs="仿宋_GB2312"/>
          <w:color w:val="000000"/>
          <w:spacing w:val="0"/>
          <w:sz w:val="32"/>
          <w:szCs w:val="32"/>
          <w:highlight w:val="none"/>
          <w:lang w:eastAsia="zh-CN"/>
        </w:rPr>
        <w:t>；</w:t>
      </w:r>
      <w:r>
        <w:rPr>
          <w:rFonts w:hint="eastAsia" w:ascii="Times New Roman" w:hAnsi="Times New Roman" w:eastAsia="仿宋_GB2312" w:cs="仿宋_GB2312"/>
          <w:color w:val="000000"/>
          <w:spacing w:val="0"/>
          <w:sz w:val="32"/>
          <w:szCs w:val="32"/>
          <w:highlight w:val="none"/>
          <w:lang w:val="en-US" w:eastAsia="zh-CN"/>
        </w:rPr>
        <w:t>也</w:t>
      </w:r>
      <w:r>
        <w:rPr>
          <w:rFonts w:hint="eastAsia" w:ascii="Times New Roman" w:hAnsi="Times New Roman" w:eastAsia="仿宋_GB2312" w:cs="仿宋_GB2312"/>
          <w:color w:val="000000"/>
          <w:spacing w:val="0"/>
          <w:sz w:val="32"/>
          <w:szCs w:val="32"/>
        </w:rPr>
        <w:t>可能是生产经营企业为延长产品保质期或者弥补产品生产过</w:t>
      </w:r>
      <w:r>
        <w:rPr>
          <w:rFonts w:hint="eastAsia" w:ascii="Times New Roman" w:hAnsi="Times New Roman" w:eastAsia="仿宋_GB2312" w:cs="仿宋_GB2312"/>
          <w:color w:val="000000"/>
          <w:spacing w:val="0"/>
          <w:sz w:val="32"/>
          <w:szCs w:val="32"/>
          <w:lang w:eastAsia="zh-CN"/>
        </w:rPr>
        <w:t>程</w:t>
      </w:r>
      <w:r>
        <w:rPr>
          <w:rFonts w:hint="eastAsia" w:ascii="Times New Roman" w:hAnsi="Times New Roman" w:eastAsia="仿宋_GB2312" w:cs="仿宋_GB2312"/>
          <w:color w:val="000000"/>
          <w:spacing w:val="0"/>
          <w:sz w:val="32"/>
          <w:szCs w:val="32"/>
        </w:rPr>
        <w:t>卫生条件不佳而</w:t>
      </w:r>
      <w:r>
        <w:rPr>
          <w:rFonts w:hint="eastAsia" w:ascii="Times New Roman" w:hAnsi="Times New Roman" w:eastAsia="仿宋_GB2312" w:cs="仿宋_GB2312"/>
          <w:color w:val="000000"/>
          <w:spacing w:val="0"/>
          <w:sz w:val="32"/>
          <w:szCs w:val="32"/>
          <w:lang w:val="en-US" w:eastAsia="zh-CN"/>
        </w:rPr>
        <w:t>超范围超限量</w:t>
      </w:r>
      <w:r>
        <w:rPr>
          <w:rFonts w:hint="eastAsia" w:ascii="Times New Roman" w:hAnsi="Times New Roman" w:eastAsia="仿宋_GB2312" w:cs="仿宋_GB2312"/>
          <w:color w:val="000000"/>
          <w:spacing w:val="0"/>
          <w:sz w:val="32"/>
          <w:szCs w:val="32"/>
        </w:rPr>
        <w:t>使用</w:t>
      </w:r>
      <w:r>
        <w:rPr>
          <w:rFonts w:hint="eastAsia" w:ascii="Times New Roman" w:hAnsi="Times New Roman" w:eastAsia="仿宋_GB2312" w:cs="仿宋_GB2312"/>
          <w:color w:val="000000"/>
          <w:spacing w:val="0"/>
          <w:sz w:val="32"/>
          <w:szCs w:val="32"/>
          <w:lang w:eastAsia="zh-CN"/>
        </w:rPr>
        <w:t>；</w:t>
      </w:r>
      <w:r>
        <w:rPr>
          <w:rFonts w:hint="eastAsia" w:ascii="Times New Roman" w:hAnsi="Times New Roman" w:eastAsia="仿宋_GB2312" w:cs="仿宋_GB2312"/>
          <w:color w:val="000000"/>
          <w:spacing w:val="0"/>
          <w:sz w:val="32"/>
          <w:szCs w:val="32"/>
          <w:highlight w:val="none"/>
          <w:lang w:val="en-US" w:eastAsia="zh-CN"/>
        </w:rPr>
        <w:t>还</w:t>
      </w:r>
      <w:r>
        <w:rPr>
          <w:rFonts w:hint="eastAsia" w:ascii="Times New Roman" w:hAnsi="Times New Roman" w:eastAsia="仿宋_GB2312" w:cs="仿宋_GB2312"/>
          <w:color w:val="000000"/>
          <w:spacing w:val="0"/>
          <w:sz w:val="32"/>
          <w:szCs w:val="32"/>
          <w:highlight w:val="none"/>
        </w:rPr>
        <w:t>可能是在使用过程中未准确计量。</w:t>
      </w:r>
    </w:p>
    <w:p>
      <w:pPr>
        <w:topLinePunct w:val="0"/>
        <w:adjustRightInd w:val="0"/>
        <w:snapToGrid w:val="0"/>
        <w:spacing w:line="594" w:lineRule="exact"/>
        <w:ind w:firstLine="640" w:firstLineChars="200"/>
        <w:rPr>
          <w:rFonts w:hint="eastAsia" w:ascii="Times New Roman" w:hAnsi="Times New Roman" w:eastAsia="黑体" w:cs="Times New Roman"/>
          <w:snapToGrid w:val="0"/>
          <w:color w:val="000000"/>
          <w:spacing w:val="0"/>
          <w:sz w:val="32"/>
          <w:szCs w:val="32"/>
          <w:highlight w:val="none"/>
          <w:lang w:val="en-US" w:eastAsia="zh-CN"/>
        </w:rPr>
      </w:pPr>
      <w:r>
        <w:rPr>
          <w:rFonts w:hint="eastAsia" w:ascii="Times New Roman" w:hAnsi="Times New Roman" w:eastAsia="黑体" w:cs="Times New Roman"/>
          <w:snapToGrid w:val="0"/>
          <w:color w:val="000000"/>
          <w:spacing w:val="0"/>
          <w:sz w:val="32"/>
          <w:szCs w:val="32"/>
          <w:lang w:val="en-US" w:eastAsia="zh-CN"/>
        </w:rPr>
        <w:t>二、</w:t>
      </w:r>
      <w:r>
        <w:rPr>
          <w:rFonts w:hint="eastAsia" w:ascii="Times New Roman" w:hAnsi="Times New Roman" w:eastAsia="黑体" w:cs="Times New Roman"/>
          <w:snapToGrid w:val="0"/>
          <w:color w:val="000000"/>
          <w:spacing w:val="0"/>
          <w:sz w:val="32"/>
          <w:szCs w:val="32"/>
          <w:highlight w:val="none"/>
          <w:lang w:val="en-US" w:eastAsia="zh-CN"/>
        </w:rPr>
        <w:t>苯甲酸及其钠盐（以苯甲酸计）</w:t>
      </w:r>
    </w:p>
    <w:p>
      <w:pPr>
        <w:pStyle w:val="2"/>
        <w:numPr>
          <w:ilvl w:val="0"/>
          <w:numId w:val="0"/>
        </w:numPr>
        <w:overflowPunct w:val="0"/>
        <w:topLinePunct w:val="0"/>
        <w:adjustRightInd w:val="0"/>
        <w:snapToGrid w:val="0"/>
        <w:spacing w:after="0" w:line="594" w:lineRule="exact"/>
        <w:ind w:left="0" w:leftChars="0" w:firstLine="640" w:firstLineChars="200"/>
        <w:rPr>
          <w:rFonts w:hint="eastAsia" w:ascii="Times New Roman" w:hAnsi="Times New Roman" w:eastAsia="仿宋_GB2312" w:cs="仿宋_GB2312"/>
          <w:snapToGrid w:val="0"/>
          <w:color w:val="000000"/>
          <w:spacing w:val="0"/>
          <w:sz w:val="32"/>
          <w:szCs w:val="32"/>
          <w:lang w:val="en-US" w:eastAsia="zh-CN"/>
        </w:rPr>
      </w:pPr>
      <w:r>
        <w:rPr>
          <w:rFonts w:hint="eastAsia" w:ascii="Times New Roman" w:hAnsi="Times New Roman" w:eastAsia="仿宋_GB2312" w:cs="仿宋_GB2312"/>
          <w:snapToGrid w:val="0"/>
          <w:color w:val="000000"/>
          <w:sz w:val="32"/>
          <w:szCs w:val="32"/>
          <w:highlight w:val="none"/>
          <w:lang w:val="en-US" w:eastAsia="zh-CN"/>
        </w:rPr>
        <w:t>苯甲酸及其钠盐（以苯甲酸计）是食品工业中常用的一种防腐剂，对霉菌、酵母和细菌有较好的抑制作用。《食品安全国家标准 食品添加剂使用标准》（GB 2760—2024）中规定，液体复合调味料、</w:t>
      </w:r>
      <w:r>
        <w:rPr>
          <w:rFonts w:hint="eastAsia" w:ascii="Times New Roman" w:hAnsi="Times New Roman" w:eastAsia="仿宋_GB2312" w:cs="仿宋_GB2312"/>
          <w:snapToGrid w:val="0"/>
          <w:color w:val="000000"/>
          <w:spacing w:val="0"/>
          <w:kern w:val="2"/>
          <w:sz w:val="32"/>
          <w:szCs w:val="32"/>
          <w:highlight w:val="none"/>
          <w:lang w:val="en-US" w:eastAsia="zh-CN" w:bidi="ar-SA"/>
        </w:rPr>
        <w:t>腌渍的蔬菜</w:t>
      </w:r>
      <w:r>
        <w:rPr>
          <w:rFonts w:hint="eastAsia" w:ascii="Times New Roman" w:hAnsi="Times New Roman" w:eastAsia="仿宋_GB2312" w:cs="仿宋_GB2312"/>
          <w:snapToGrid w:val="0"/>
          <w:color w:val="000000"/>
          <w:sz w:val="32"/>
          <w:szCs w:val="32"/>
          <w:highlight w:val="none"/>
          <w:lang w:val="en-US" w:eastAsia="zh-CN"/>
        </w:rPr>
        <w:t>中苯甲酸及其钠盐（以苯甲酸计）</w:t>
      </w:r>
      <w:r>
        <w:rPr>
          <w:rFonts w:hint="eastAsia" w:ascii="Times New Roman" w:hAnsi="Times New Roman" w:eastAsia="仿宋_GB2312" w:cs="仿宋_GB2312"/>
          <w:snapToGrid w:val="0"/>
          <w:color w:val="000000"/>
          <w:spacing w:val="0"/>
          <w:sz w:val="32"/>
          <w:szCs w:val="32"/>
          <w:highlight w:val="none"/>
          <w:lang w:val="en-US" w:eastAsia="zh-CN"/>
        </w:rPr>
        <w:t>的最大使用量为</w:t>
      </w:r>
      <w:r>
        <w:rPr>
          <w:rFonts w:hint="eastAsia" w:ascii="Times New Roman" w:hAnsi="Times New Roman" w:cs="仿宋_GB2312"/>
          <w:snapToGrid w:val="0"/>
          <w:color w:val="000000"/>
          <w:spacing w:val="0"/>
          <w:sz w:val="32"/>
          <w:szCs w:val="32"/>
          <w:highlight w:val="none"/>
          <w:lang w:val="en-US" w:eastAsia="zh-CN"/>
        </w:rPr>
        <w:t>1.0</w:t>
      </w:r>
      <w:r>
        <w:rPr>
          <w:rFonts w:hint="eastAsia" w:ascii="Times New Roman" w:hAnsi="Times New Roman" w:eastAsia="仿宋_GB2312" w:cs="仿宋_GB2312"/>
          <w:snapToGrid w:val="0"/>
          <w:color w:val="000000"/>
          <w:spacing w:val="0"/>
          <w:sz w:val="32"/>
          <w:szCs w:val="32"/>
          <w:highlight w:val="none"/>
          <w:lang w:val="en-US" w:eastAsia="zh-CN"/>
        </w:rPr>
        <w:t>g/kg</w:t>
      </w:r>
      <w:r>
        <w:rPr>
          <w:rFonts w:hint="eastAsia" w:ascii="Times New Roman" w:hAnsi="Times New Roman" w:eastAsia="仿宋_GB2312" w:cs="仿宋_GB2312"/>
          <w:snapToGrid w:val="0"/>
          <w:color w:val="000000"/>
          <w:sz w:val="32"/>
          <w:szCs w:val="32"/>
          <w:highlight w:val="none"/>
          <w:lang w:val="en-US" w:eastAsia="zh-CN"/>
        </w:rPr>
        <w:t>，</w:t>
      </w:r>
      <w:r>
        <w:rPr>
          <w:rFonts w:hint="eastAsia" w:eastAsia="仿宋_GB2312" w:cs="仿宋_GB2312"/>
          <w:snapToGrid w:val="0"/>
          <w:color w:val="000000"/>
          <w:sz w:val="32"/>
          <w:szCs w:val="32"/>
          <w:highlight w:val="none"/>
          <w:lang w:val="en-US" w:eastAsia="zh-CN"/>
        </w:rPr>
        <w:t>发酵酒</w:t>
      </w:r>
      <w:r>
        <w:rPr>
          <w:rFonts w:hint="eastAsia" w:ascii="Times New Roman" w:hAnsi="Times New Roman" w:eastAsia="仿宋_GB2312" w:cs="仿宋_GB2312"/>
          <w:snapToGrid w:val="0"/>
          <w:color w:val="000000"/>
          <w:sz w:val="32"/>
          <w:szCs w:val="32"/>
          <w:highlight w:val="none"/>
          <w:lang w:val="en-US" w:eastAsia="zh-CN"/>
        </w:rPr>
        <w:t>中不得使用苯甲酸及其钠盐（以苯甲酸计），</w:t>
      </w:r>
      <w:r>
        <w:rPr>
          <w:rFonts w:hint="eastAsia" w:ascii="Times New Roman" w:hAnsi="Times New Roman" w:eastAsia="仿宋_GB2312" w:cs="仿宋_GB2312"/>
          <w:snapToGrid w:val="0"/>
          <w:color w:val="000000"/>
          <w:kern w:val="2"/>
          <w:sz w:val="32"/>
          <w:szCs w:val="32"/>
          <w:highlight w:val="none"/>
          <w:lang w:val="en-US" w:eastAsia="zh-CN" w:bidi="ar-SA"/>
        </w:rPr>
        <w:t>蜜饯中苯甲酸及其钠盐（以苯甲酸计）的</w:t>
      </w:r>
      <w:r>
        <w:rPr>
          <w:rFonts w:hint="eastAsia" w:ascii="Times New Roman" w:hAnsi="Times New Roman" w:eastAsia="仿宋_GB2312" w:cs="仿宋_GB2312"/>
          <w:snapToGrid w:val="0"/>
          <w:color w:val="000000"/>
          <w:sz w:val="32"/>
          <w:szCs w:val="32"/>
          <w:highlight w:val="none"/>
          <w:lang w:val="en-US" w:eastAsia="zh-CN"/>
        </w:rPr>
        <w:t>最大使用量</w:t>
      </w:r>
      <w:r>
        <w:rPr>
          <w:rFonts w:hint="eastAsia" w:ascii="Times New Roman" w:hAnsi="Times New Roman" w:eastAsia="仿宋_GB2312" w:cs="仿宋_GB2312"/>
          <w:snapToGrid w:val="0"/>
          <w:color w:val="000000"/>
          <w:kern w:val="2"/>
          <w:sz w:val="32"/>
          <w:szCs w:val="32"/>
          <w:highlight w:val="none"/>
          <w:lang w:val="en-US" w:eastAsia="zh-CN" w:bidi="ar-SA"/>
        </w:rPr>
        <w:t>为0.5g/kg</w:t>
      </w:r>
      <w:r>
        <w:rPr>
          <w:rFonts w:hint="eastAsia" w:ascii="Times New Roman" w:hAnsi="Times New Roman" w:eastAsia="仿宋_GB2312" w:cs="仿宋_GB2312"/>
          <w:snapToGrid w:val="0"/>
          <w:color w:val="000000"/>
          <w:spacing w:val="0"/>
          <w:kern w:val="2"/>
          <w:sz w:val="32"/>
          <w:szCs w:val="32"/>
          <w:highlight w:val="none"/>
          <w:lang w:val="en-US" w:eastAsia="zh-CN" w:bidi="ar-SA"/>
        </w:rPr>
        <w:t>；《绿色食品 米酒》（NY/T 1885—2017）中规定，绿色食品米酒不得检出苯甲酸。</w:t>
      </w:r>
      <w:r>
        <w:rPr>
          <w:rFonts w:hint="eastAsia" w:ascii="Times New Roman" w:hAnsi="Times New Roman" w:eastAsia="仿宋_GB2312" w:cs="仿宋_GB2312"/>
          <w:snapToGrid w:val="0"/>
          <w:color w:val="000000"/>
          <w:sz w:val="32"/>
          <w:szCs w:val="32"/>
          <w:highlight w:val="none"/>
          <w:lang w:val="en-US" w:eastAsia="zh-CN"/>
        </w:rPr>
        <w:t>“黑松露白灼汁（液态复合调味料）”产品中苯甲酸及其钠盐（以苯甲酸计）检验值符合食品安全国家标准要求，但不符合产品标签标示要求“防腐剂（苯甲酸钠、山梨酸钾）、增味剂（5'-呈味核苷酸二钠、琥珀酸二钠）、甜味剂（阿斯巴甜、安赛蜜）：在生产过程中未添加且含量未检出”</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highlight w:val="none"/>
          <w:lang w:val="en-US" w:eastAsia="zh-CN"/>
        </w:rPr>
        <w:t>液体复合调味料、</w:t>
      </w:r>
      <w:r>
        <w:rPr>
          <w:rFonts w:hint="eastAsia" w:eastAsia="仿宋_GB2312" w:cs="仿宋_GB2312"/>
          <w:snapToGrid w:val="0"/>
          <w:color w:val="000000"/>
          <w:sz w:val="32"/>
          <w:szCs w:val="32"/>
          <w:highlight w:val="none"/>
          <w:lang w:val="en-US" w:eastAsia="zh-CN"/>
        </w:rPr>
        <w:t>米酿、蜜饯、</w:t>
      </w:r>
      <w:r>
        <w:rPr>
          <w:rFonts w:hint="eastAsia" w:ascii="Times New Roman" w:hAnsi="Times New Roman" w:eastAsia="仿宋_GB2312" w:cs="仿宋_GB2312"/>
          <w:snapToGrid w:val="0"/>
          <w:color w:val="000000"/>
          <w:spacing w:val="0"/>
          <w:kern w:val="2"/>
          <w:sz w:val="32"/>
          <w:szCs w:val="32"/>
          <w:highlight w:val="none"/>
          <w:lang w:val="en-US" w:eastAsia="zh-CN" w:bidi="ar-SA"/>
        </w:rPr>
        <w:t>腌渍的蔬菜</w:t>
      </w:r>
      <w:r>
        <w:rPr>
          <w:rFonts w:hint="eastAsia" w:ascii="Times New Roman" w:hAnsi="Times New Roman" w:eastAsia="仿宋_GB2312" w:cs="仿宋_GB2312"/>
          <w:snapToGrid w:val="0"/>
          <w:color w:val="000000"/>
          <w:sz w:val="32"/>
          <w:szCs w:val="32"/>
          <w:highlight w:val="none"/>
          <w:lang w:val="en-US" w:eastAsia="zh-CN"/>
        </w:rPr>
        <w:t>中苯甲酸及其钠盐（以苯甲酸计）检验值超标的原因，可能是企业为延长产品保质期或者弥补产品生产过程卫生条件不佳而超范围超限量使用</w:t>
      </w:r>
      <w:r>
        <w:rPr>
          <w:rFonts w:hint="eastAsia" w:ascii="Times New Roman" w:hAnsi="Times New Roman" w:eastAsia="仿宋_GB2312" w:cs="仿宋_GB2312"/>
          <w:snapToGrid w:val="0"/>
          <w:color w:val="000000"/>
          <w:spacing w:val="0"/>
          <w:sz w:val="32"/>
          <w:szCs w:val="32"/>
          <w:highlight w:val="none"/>
          <w:lang w:val="en-US" w:eastAsia="zh-CN"/>
        </w:rPr>
        <w:t>；</w:t>
      </w:r>
      <w:r>
        <w:rPr>
          <w:rFonts w:hint="eastAsia" w:ascii="Times New Roman" w:hAnsi="Times New Roman" w:eastAsia="仿宋_GB2312" w:cs="仿宋_GB2312"/>
          <w:snapToGrid w:val="0"/>
          <w:color w:val="000000"/>
          <w:spacing w:val="0"/>
          <w:sz w:val="32"/>
          <w:szCs w:val="32"/>
          <w:highlight w:val="none"/>
        </w:rPr>
        <w:t>也可能是在使用过程中未准确计量</w:t>
      </w:r>
      <w:r>
        <w:rPr>
          <w:rFonts w:hint="eastAsia" w:ascii="Times New Roman" w:hAnsi="Times New Roman" w:eastAsia="仿宋_GB2312" w:cs="仿宋_GB2312"/>
          <w:snapToGrid w:val="0"/>
          <w:color w:val="000000"/>
          <w:sz w:val="32"/>
          <w:szCs w:val="32"/>
          <w:highlight w:val="none"/>
          <w:lang w:val="en-US" w:eastAsia="zh-CN"/>
        </w:rPr>
        <w:t>。</w:t>
      </w:r>
    </w:p>
    <w:p>
      <w:pPr>
        <w:topLinePunct w:val="0"/>
        <w:adjustRightInd w:val="0"/>
        <w:snapToGrid w:val="0"/>
        <w:spacing w:line="594" w:lineRule="exact"/>
        <w:ind w:firstLine="640" w:firstLineChars="200"/>
        <w:rPr>
          <w:rFonts w:hint="eastAsia" w:ascii="Times New Roman" w:hAnsi="Times New Roman" w:eastAsia="黑体" w:cs="Times New Roman"/>
          <w:snapToGrid w:val="0"/>
          <w:color w:val="000000"/>
          <w:sz w:val="32"/>
          <w:szCs w:val="32"/>
          <w:lang w:eastAsia="zh-CN"/>
        </w:rPr>
      </w:pPr>
      <w:r>
        <w:rPr>
          <w:rFonts w:hint="eastAsia" w:ascii="Times New Roman" w:hAnsi="Times New Roman" w:eastAsia="黑体" w:cs="黑体"/>
          <w:snapToGrid w:val="0"/>
          <w:color w:val="000000"/>
          <w:spacing w:val="0"/>
          <w:sz w:val="32"/>
          <w:szCs w:val="32"/>
          <w:lang w:val="en-US" w:eastAsia="zh-CN"/>
        </w:rPr>
        <w:t>三、</w:t>
      </w:r>
      <w:r>
        <w:rPr>
          <w:rFonts w:hint="eastAsia" w:ascii="Times New Roman" w:hAnsi="Times New Roman" w:eastAsia="黑体"/>
          <w:snapToGrid w:val="0"/>
          <w:color w:val="000000"/>
          <w:spacing w:val="0"/>
          <w:sz w:val="32"/>
          <w:szCs w:val="32"/>
          <w:lang w:val="en-US" w:eastAsia="zh-CN"/>
        </w:rPr>
        <w:t>甜蜜素</w:t>
      </w:r>
      <w:r>
        <w:rPr>
          <w:rFonts w:hint="eastAsia" w:ascii="Times New Roman" w:hAnsi="Times New Roman" w:eastAsia="黑体" w:cs="Times New Roman"/>
          <w:snapToGrid w:val="0"/>
          <w:color w:val="000000"/>
          <w:sz w:val="32"/>
          <w:szCs w:val="32"/>
          <w:lang w:eastAsia="zh-CN"/>
        </w:rPr>
        <w:t>（以环己基氨基磺酸计）</w:t>
      </w:r>
    </w:p>
    <w:p>
      <w:pPr>
        <w:topLinePunct w:val="0"/>
        <w:adjustRightInd w:val="0"/>
        <w:snapToGrid w:val="0"/>
        <w:spacing w:line="594" w:lineRule="exact"/>
        <w:ind w:firstLine="640" w:firstLineChars="200"/>
        <w:rPr>
          <w:rFonts w:hint="eastAsia" w:ascii="Times New Roman" w:hAnsi="Times New Roman" w:eastAsia="仿宋_GB2312" w:cs="仿宋_GB2312"/>
          <w:snapToGrid w:val="0"/>
          <w:color w:val="000000"/>
          <w:kern w:val="2"/>
          <w:sz w:val="32"/>
          <w:szCs w:val="32"/>
          <w:highlight w:val="none"/>
          <w:lang w:val="en-US" w:eastAsia="zh-CN" w:bidi="ar-SA"/>
        </w:rPr>
      </w:pPr>
      <w:r>
        <w:rPr>
          <w:rFonts w:hint="eastAsia" w:ascii="Times New Roman" w:hAnsi="Times New Roman" w:eastAsia="仿宋_GB2312" w:cs="仿宋_GB2312"/>
          <w:snapToGrid w:val="0"/>
          <w:color w:val="000000"/>
          <w:sz w:val="32"/>
          <w:szCs w:val="32"/>
          <w:lang w:eastAsia="zh-CN"/>
        </w:rPr>
        <w:t>甜蜜素，化学名称为环己基氨基磺酸钠，是食品生产中常用的甜味剂之一，甜度是蔗糖的</w:t>
      </w:r>
      <w:r>
        <w:rPr>
          <w:rFonts w:hint="eastAsia" w:ascii="Times New Roman" w:hAnsi="Times New Roman" w:eastAsia="仿宋_GB2312" w:cs="仿宋_GB2312"/>
          <w:snapToGrid w:val="0"/>
          <w:color w:val="000000"/>
          <w:sz w:val="32"/>
          <w:szCs w:val="32"/>
          <w:lang w:val="en-US" w:eastAsia="zh-CN"/>
        </w:rPr>
        <w:t>3</w:t>
      </w:r>
      <w:r>
        <w:rPr>
          <w:rFonts w:hint="eastAsia" w:ascii="Times New Roman" w:hAnsi="Times New Roman" w:eastAsia="仿宋_GB2312" w:cs="仿宋_GB2312"/>
          <w:snapToGrid w:val="0"/>
          <w:color w:val="000000"/>
          <w:sz w:val="32"/>
          <w:szCs w:val="32"/>
          <w:lang w:eastAsia="zh-CN"/>
        </w:rPr>
        <w:t>0—</w:t>
      </w:r>
      <w:r>
        <w:rPr>
          <w:rFonts w:hint="eastAsia" w:ascii="Times New Roman" w:hAnsi="Times New Roman" w:eastAsia="仿宋_GB2312" w:cs="仿宋_GB2312"/>
          <w:snapToGrid w:val="0"/>
          <w:color w:val="000000"/>
          <w:sz w:val="32"/>
          <w:szCs w:val="32"/>
          <w:lang w:val="en-US" w:eastAsia="zh-CN"/>
        </w:rPr>
        <w:t>8</w:t>
      </w:r>
      <w:r>
        <w:rPr>
          <w:rFonts w:hint="eastAsia" w:ascii="Times New Roman" w:hAnsi="Times New Roman" w:eastAsia="仿宋_GB2312" w:cs="仿宋_GB2312"/>
          <w:snapToGrid w:val="0"/>
          <w:color w:val="000000"/>
          <w:sz w:val="32"/>
          <w:szCs w:val="32"/>
          <w:lang w:eastAsia="zh-CN"/>
        </w:rPr>
        <w:t>0倍。《食品安全国家标准</w:t>
      </w:r>
      <w:r>
        <w:rPr>
          <w:rFonts w:hint="eastAsia" w:ascii="Times New Roman" w:hAnsi="Times New Roman" w:eastAsia="仿宋_GB2312" w:cs="仿宋_GB2312"/>
          <w:snapToGrid w:val="0"/>
          <w:color w:val="000000"/>
          <w:sz w:val="32"/>
          <w:szCs w:val="32"/>
          <w:lang w:val="en-US" w:eastAsia="zh-CN"/>
        </w:rPr>
        <w:t xml:space="preserve"> 食品添加剂使用标准</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lang w:val="en-US" w:eastAsia="zh-CN"/>
        </w:rPr>
        <w:t>GB 2760—2024</w:t>
      </w:r>
      <w:r>
        <w:rPr>
          <w:rFonts w:hint="eastAsia" w:ascii="Times New Roman" w:hAnsi="Times New Roman" w:eastAsia="仿宋_GB2312" w:cs="仿宋_GB2312"/>
          <w:snapToGrid w:val="0"/>
          <w:color w:val="000000"/>
          <w:sz w:val="32"/>
          <w:szCs w:val="32"/>
          <w:lang w:eastAsia="zh-CN"/>
        </w:rPr>
        <w:t>）中规定，</w:t>
      </w:r>
      <w:r>
        <w:rPr>
          <w:rFonts w:hint="eastAsia" w:ascii="Times New Roman" w:hAnsi="Times New Roman" w:eastAsia="仿宋_GB2312" w:cs="仿宋_GB2312"/>
          <w:snapToGrid w:val="0"/>
          <w:color w:val="000000"/>
          <w:sz w:val="32"/>
          <w:szCs w:val="32"/>
          <w:lang w:val="en-US" w:eastAsia="zh-CN"/>
        </w:rPr>
        <w:t>白酒、发酵酒</w:t>
      </w:r>
      <w:r>
        <w:rPr>
          <w:rFonts w:hint="eastAsia" w:ascii="Times New Roman" w:hAnsi="Times New Roman" w:eastAsia="仿宋_GB2312" w:cs="仿宋_GB2312"/>
          <w:snapToGrid w:val="0"/>
          <w:color w:val="000000"/>
          <w:sz w:val="32"/>
          <w:szCs w:val="32"/>
        </w:rPr>
        <w:t>中不得使用甜蜜素。</w:t>
      </w:r>
      <w:r>
        <w:rPr>
          <w:rFonts w:hint="eastAsia" w:ascii="Times New Roman" w:hAnsi="Times New Roman" w:eastAsia="仿宋_GB2312" w:cs="仿宋_GB2312"/>
          <w:snapToGrid w:val="0"/>
          <w:color w:val="000000"/>
          <w:sz w:val="32"/>
          <w:szCs w:val="32"/>
          <w:lang w:val="en-US" w:eastAsia="zh-CN"/>
        </w:rPr>
        <w:t>白酒、米酿</w:t>
      </w:r>
      <w:r>
        <w:rPr>
          <w:rFonts w:hint="eastAsia" w:ascii="Times New Roman" w:hAnsi="Times New Roman" w:eastAsia="仿宋_GB2312" w:cs="仿宋_GB2312"/>
          <w:snapToGrid w:val="0"/>
          <w:color w:val="000000"/>
          <w:sz w:val="32"/>
          <w:szCs w:val="32"/>
        </w:rPr>
        <w:t>中</w:t>
      </w:r>
      <w:r>
        <w:rPr>
          <w:rFonts w:hint="eastAsia" w:ascii="Times New Roman" w:hAnsi="Times New Roman" w:eastAsia="仿宋_GB2312" w:cs="仿宋_GB2312"/>
          <w:snapToGrid w:val="0"/>
          <w:color w:val="000000"/>
          <w:sz w:val="32"/>
          <w:szCs w:val="32"/>
          <w:lang w:val="en-US" w:eastAsia="zh-CN"/>
        </w:rPr>
        <w:t>检出甜蜜素（以环己基氨基磺酸计）</w:t>
      </w:r>
      <w:r>
        <w:rPr>
          <w:rFonts w:hint="eastAsia" w:ascii="Times New Roman" w:hAnsi="Times New Roman" w:eastAsia="仿宋_GB2312" w:cs="仿宋_GB2312"/>
          <w:snapToGrid w:val="0"/>
          <w:color w:val="000000"/>
          <w:sz w:val="32"/>
          <w:szCs w:val="32"/>
        </w:rPr>
        <w:t>的原因，可能是生产</w:t>
      </w:r>
      <w:r>
        <w:rPr>
          <w:rFonts w:hint="eastAsia" w:ascii="Times New Roman" w:hAnsi="Times New Roman" w:eastAsia="仿宋_GB2312" w:cs="仿宋_GB2312"/>
          <w:snapToGrid w:val="0"/>
          <w:color w:val="000000"/>
          <w:sz w:val="32"/>
          <w:szCs w:val="32"/>
          <w:lang w:val="en-US" w:eastAsia="zh-CN"/>
        </w:rPr>
        <w:t>者违规添加以</w:t>
      </w:r>
      <w:r>
        <w:rPr>
          <w:rFonts w:hint="eastAsia" w:ascii="Times New Roman" w:hAnsi="Times New Roman" w:eastAsia="仿宋_GB2312" w:cs="仿宋_GB2312"/>
          <w:snapToGrid w:val="0"/>
          <w:color w:val="000000"/>
          <w:sz w:val="32"/>
          <w:szCs w:val="32"/>
          <w:lang w:eastAsia="zh-CN"/>
        </w:rPr>
        <w:t>改善口感</w:t>
      </w:r>
      <w:r>
        <w:rPr>
          <w:rFonts w:hint="eastAsia" w:ascii="Times New Roman" w:hAnsi="Times New Roman" w:eastAsia="仿宋_GB2312" w:cs="仿宋_GB2312"/>
          <w:snapToGrid w:val="0"/>
          <w:color w:val="000000"/>
          <w:kern w:val="2"/>
          <w:sz w:val="32"/>
          <w:szCs w:val="32"/>
          <w:lang w:val="en-US" w:eastAsia="zh-CN"/>
        </w:rPr>
        <w:t>。</w:t>
      </w:r>
    </w:p>
    <w:p>
      <w:pPr>
        <w:keepNext w:val="0"/>
        <w:keepLines w:val="0"/>
        <w:pageBreakBefore w:val="0"/>
        <w:kinsoku/>
        <w:wordWrap/>
        <w:overflowPunct w:val="0"/>
        <w:topLinePunct w:val="0"/>
        <w:autoSpaceDE/>
        <w:autoSpaceDN/>
        <w:bidi w:val="0"/>
        <w:adjustRightInd w:val="0"/>
        <w:snapToGrid w:val="0"/>
        <w:spacing w:line="594" w:lineRule="exact"/>
        <w:ind w:firstLine="640" w:firstLineChars="200"/>
        <w:textAlignment w:val="auto"/>
        <w:rPr>
          <w:rFonts w:hint="eastAsia" w:eastAsia="黑体"/>
          <w:snapToGrid w:val="0"/>
          <w:color w:val="000000"/>
          <w:spacing w:val="0"/>
          <w:sz w:val="32"/>
          <w:szCs w:val="32"/>
        </w:rPr>
      </w:pPr>
      <w:r>
        <w:rPr>
          <w:rFonts w:hint="eastAsia" w:ascii="Times New Roman" w:hAnsi="Times New Roman" w:eastAsia="黑体" w:cs="Times New Roman"/>
          <w:snapToGrid w:val="0"/>
          <w:color w:val="000000"/>
          <w:spacing w:val="0"/>
          <w:sz w:val="32"/>
          <w:szCs w:val="32"/>
          <w:highlight w:val="none"/>
          <w:lang w:val="en-US" w:eastAsia="zh-CN"/>
        </w:rPr>
        <w:t>四、</w:t>
      </w:r>
      <w:r>
        <w:rPr>
          <w:rFonts w:hint="eastAsia" w:eastAsia="黑体"/>
          <w:snapToGrid w:val="0"/>
          <w:color w:val="000000"/>
          <w:spacing w:val="0"/>
          <w:sz w:val="32"/>
          <w:szCs w:val="32"/>
        </w:rPr>
        <w:t>苋菜红</w:t>
      </w:r>
    </w:p>
    <w:p>
      <w:pPr>
        <w:pStyle w:val="2"/>
        <w:numPr>
          <w:ilvl w:val="0"/>
          <w:numId w:val="0"/>
        </w:numPr>
        <w:topLinePunct w:val="0"/>
        <w:adjustRightInd w:val="0"/>
        <w:snapToGrid w:val="0"/>
        <w:spacing w:after="0" w:line="594" w:lineRule="exact"/>
        <w:ind w:left="0" w:leftChars="0" w:firstLine="640" w:firstLineChars="200"/>
        <w:rPr>
          <w:rFonts w:hint="eastAsia" w:ascii="Times New Roman" w:hAnsi="Times New Roman" w:eastAsia="仿宋_GB2312" w:cs="仿宋_GB2312"/>
          <w:snapToGrid w:val="0"/>
          <w:color w:val="000000"/>
          <w:spacing w:val="0"/>
          <w:sz w:val="32"/>
          <w:szCs w:val="32"/>
          <w:highlight w:val="none"/>
          <w:lang w:val="en-US" w:eastAsia="zh-CN"/>
        </w:rPr>
      </w:pPr>
      <w:r>
        <w:rPr>
          <w:rFonts w:hint="eastAsia" w:ascii="Times New Roman" w:hAnsi="Times New Roman" w:eastAsia="仿宋_GB2312" w:cs="仿宋_GB2312"/>
          <w:snapToGrid w:val="0"/>
          <w:color w:val="000000"/>
          <w:sz w:val="32"/>
          <w:szCs w:val="32"/>
          <w:highlight w:val="none"/>
        </w:rPr>
        <w:t>苋菜红又名食用红色9号，</w:t>
      </w:r>
      <w:r>
        <w:rPr>
          <w:rFonts w:hint="eastAsia" w:ascii="Times New Roman" w:hAnsi="Times New Roman" w:eastAsia="仿宋_GB2312" w:cs="仿宋_GB2312"/>
          <w:snapToGrid w:val="0"/>
          <w:color w:val="000000"/>
          <w:sz w:val="32"/>
          <w:szCs w:val="32"/>
          <w:highlight w:val="none"/>
          <w:lang w:val="en-US" w:eastAsia="zh-CN"/>
        </w:rPr>
        <w:t>属于</w:t>
      </w:r>
      <w:r>
        <w:rPr>
          <w:rFonts w:hint="eastAsia" w:ascii="Times New Roman" w:hAnsi="Times New Roman" w:eastAsia="仿宋_GB2312" w:cs="仿宋_GB2312"/>
          <w:snapToGrid w:val="0"/>
          <w:color w:val="000000"/>
          <w:sz w:val="32"/>
          <w:szCs w:val="32"/>
          <w:highlight w:val="none"/>
        </w:rPr>
        <w:t>水溶性偶氮类化合物，是常见的人工合成着色剂，在食品生产中应用广泛</w:t>
      </w:r>
      <w:r>
        <w:rPr>
          <w:rFonts w:hint="eastAsia" w:ascii="Times New Roman" w:hAnsi="Times New Roman" w:eastAsia="仿宋_GB2312" w:cs="仿宋_GB2312"/>
          <w:snapToGrid w:val="0"/>
          <w:color w:val="000000"/>
          <w:sz w:val="32"/>
          <w:szCs w:val="32"/>
          <w:highlight w:val="none"/>
          <w:lang w:eastAsia="zh-CN"/>
        </w:rPr>
        <w:t>。《食品安全国家标准</w:t>
      </w:r>
      <w:r>
        <w:rPr>
          <w:rFonts w:hint="eastAsia" w:ascii="Times New Roman" w:hAnsi="Times New Roman" w:eastAsia="仿宋_GB2312" w:cs="仿宋_GB2312"/>
          <w:snapToGrid w:val="0"/>
          <w:color w:val="000000"/>
          <w:sz w:val="32"/>
          <w:szCs w:val="32"/>
          <w:highlight w:val="none"/>
          <w:lang w:val="en-US" w:eastAsia="zh-CN"/>
        </w:rPr>
        <w:t xml:space="preserve"> 食品添加剂使用标准</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highlight w:val="none"/>
          <w:lang w:val="en-US" w:eastAsia="zh-CN"/>
        </w:rPr>
        <w:t>GB 2760—2024</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highlight w:val="none"/>
          <w:lang w:val="en-US" w:eastAsia="zh-CN"/>
        </w:rPr>
        <w:t>中规定，糕点（除糕点上彩装外）中不得使用苋菜红。</w:t>
      </w:r>
      <w:r>
        <w:rPr>
          <w:rFonts w:hint="eastAsia" w:ascii="Times New Roman" w:hAnsi="Times New Roman" w:eastAsia="仿宋_GB2312" w:cs="仿宋_GB2312"/>
          <w:snapToGrid w:val="0"/>
          <w:color w:val="000000"/>
          <w:sz w:val="32"/>
          <w:szCs w:val="32"/>
          <w:lang w:val="en-US" w:eastAsia="zh-CN"/>
        </w:rPr>
        <w:t>糕点中检出苋菜红的原因，可能是</w:t>
      </w:r>
      <w:r>
        <w:rPr>
          <w:rFonts w:hint="eastAsia" w:ascii="Times New Roman" w:hAnsi="Times New Roman" w:eastAsia="仿宋_GB2312" w:cs="仿宋_GB2312"/>
          <w:snapToGrid w:val="0"/>
          <w:color w:val="000000"/>
          <w:sz w:val="32"/>
          <w:szCs w:val="32"/>
          <w:highlight w:val="none"/>
          <w:lang w:val="en-US" w:eastAsia="zh-CN"/>
        </w:rPr>
        <w:t>企业为改善产品色泽在生产加工过程中超范围使用食品添加剂</w:t>
      </w:r>
      <w:r>
        <w:rPr>
          <w:rFonts w:hint="eastAsia" w:ascii="Times New Roman" w:hAnsi="Times New Roman" w:eastAsia="仿宋_GB2312" w:cs="仿宋_GB2312"/>
          <w:snapToGrid w:val="0"/>
          <w:color w:val="000000"/>
          <w:sz w:val="32"/>
          <w:szCs w:val="32"/>
          <w:lang w:val="en-US" w:eastAsia="zh-CN"/>
        </w:rPr>
        <w:t>；也可能是企业在生产过程中未严格控制配料中色素的带入。</w:t>
      </w:r>
    </w:p>
    <w:p>
      <w:pPr>
        <w:topLinePunct w:val="0"/>
        <w:adjustRightInd w:val="0"/>
        <w:snapToGrid w:val="0"/>
        <w:spacing w:line="594" w:lineRule="exact"/>
        <w:ind w:firstLine="640" w:firstLineChars="200"/>
        <w:rPr>
          <w:rFonts w:hint="eastAsia" w:ascii="Times New Roman" w:hAnsi="Times New Roman" w:eastAsia="黑体" w:cs="Times New Roman"/>
          <w:snapToGrid w:val="0"/>
          <w:color w:val="000000"/>
          <w:sz w:val="32"/>
          <w:szCs w:val="32"/>
          <w:lang w:eastAsia="zh-CN"/>
        </w:rPr>
      </w:pPr>
      <w:r>
        <w:rPr>
          <w:rFonts w:hint="eastAsia" w:ascii="Times New Roman" w:hAnsi="Times New Roman" w:eastAsia="黑体" w:cs="Times New Roman"/>
          <w:snapToGrid w:val="0"/>
          <w:color w:val="000000"/>
          <w:sz w:val="32"/>
          <w:szCs w:val="32"/>
          <w:highlight w:val="none"/>
          <w:lang w:val="en-US" w:eastAsia="zh-CN"/>
        </w:rPr>
        <w:t>五、</w:t>
      </w:r>
      <w:r>
        <w:rPr>
          <w:rFonts w:hint="eastAsia" w:eastAsia="黑体"/>
          <w:snapToGrid w:val="0"/>
          <w:color w:val="000000"/>
          <w:spacing w:val="0"/>
          <w:sz w:val="32"/>
          <w:szCs w:val="32"/>
          <w:lang w:val="en-US" w:eastAsia="zh-CN"/>
        </w:rPr>
        <w:t>纽甜</w:t>
      </w:r>
    </w:p>
    <w:p>
      <w:pPr>
        <w:numPr>
          <w:ilvl w:val="0"/>
          <w:numId w:val="0"/>
        </w:numPr>
        <w:topLinePunct w:val="0"/>
        <w:autoSpaceDE/>
        <w:adjustRightInd w:val="0"/>
        <w:snapToGrid w:val="0"/>
        <w:spacing w:line="594" w:lineRule="exact"/>
        <w:ind w:firstLine="640" w:firstLineChars="200"/>
        <w:rPr>
          <w:rFonts w:hint="default"/>
          <w:snapToGrid w:val="0"/>
          <w:color w:val="000000"/>
          <w:lang w:val="en-US" w:eastAsia="zh-CN"/>
        </w:rPr>
      </w:pPr>
      <w:r>
        <w:rPr>
          <w:rFonts w:hint="eastAsia" w:ascii="Times New Roman" w:hAnsi="Times New Roman" w:eastAsia="仿宋_GB2312" w:cs="Times New Roman"/>
          <w:snapToGrid w:val="0"/>
          <w:color w:val="000000"/>
          <w:sz w:val="32"/>
          <w:szCs w:val="32"/>
          <w:lang w:val="en-US" w:eastAsia="zh-CN"/>
        </w:rPr>
        <w:t>纽甜</w:t>
      </w:r>
      <w:r>
        <w:rPr>
          <w:rFonts w:hint="eastAsia" w:ascii="Times New Roman" w:hAnsi="Times New Roman" w:eastAsia="仿宋_GB2312" w:cs="Times New Roman"/>
          <w:snapToGrid w:val="0"/>
          <w:color w:val="000000"/>
          <w:sz w:val="32"/>
          <w:szCs w:val="32"/>
          <w:lang w:eastAsia="zh-CN"/>
        </w:rPr>
        <w:t>，甜度高，是</w:t>
      </w:r>
      <w:r>
        <w:rPr>
          <w:rFonts w:hint="eastAsia" w:ascii="Times New Roman" w:hAnsi="Times New Roman" w:eastAsia="仿宋_GB2312" w:cs="Times New Roman"/>
          <w:snapToGrid w:val="0"/>
          <w:color w:val="000000"/>
          <w:sz w:val="32"/>
          <w:szCs w:val="32"/>
          <w:lang w:val="en-US" w:eastAsia="zh-CN"/>
        </w:rPr>
        <w:t>蔗</w:t>
      </w:r>
      <w:r>
        <w:rPr>
          <w:rFonts w:hint="eastAsia" w:ascii="Times New Roman" w:hAnsi="Times New Roman" w:eastAsia="仿宋_GB2312" w:cs="Times New Roman"/>
          <w:snapToGrid w:val="0"/>
          <w:color w:val="000000"/>
          <w:sz w:val="32"/>
          <w:szCs w:val="32"/>
          <w:lang w:eastAsia="zh-CN"/>
        </w:rPr>
        <w:t>糖的8000倍左右。《食品安全国家标准</w:t>
      </w:r>
      <w:r>
        <w:rPr>
          <w:rFonts w:hint="eastAsia" w:ascii="Times New Roman" w:hAnsi="Times New Roman" w:eastAsia="仿宋_GB2312" w:cs="Times New Roman"/>
          <w:snapToGrid w:val="0"/>
          <w:color w:val="000000"/>
          <w:sz w:val="32"/>
          <w:szCs w:val="32"/>
          <w:lang w:val="en-US" w:eastAsia="zh-CN"/>
        </w:rPr>
        <w:t xml:space="preserve"> 食品添加剂使用标准</w:t>
      </w:r>
      <w:r>
        <w:rPr>
          <w:rFonts w:hint="eastAsia" w:ascii="Times New Roman" w:hAnsi="Times New Roman" w:eastAsia="仿宋_GB2312" w:cs="Times New Roman"/>
          <w:snapToGrid w:val="0"/>
          <w:color w:val="000000"/>
          <w:sz w:val="32"/>
          <w:szCs w:val="32"/>
          <w:lang w:eastAsia="zh-CN"/>
        </w:rPr>
        <w:t>》（</w:t>
      </w:r>
      <w:r>
        <w:rPr>
          <w:rFonts w:hint="eastAsia" w:ascii="Times New Roman" w:hAnsi="Times New Roman" w:eastAsia="仿宋_GB2312" w:cs="Times New Roman"/>
          <w:snapToGrid w:val="0"/>
          <w:color w:val="000000"/>
          <w:sz w:val="32"/>
          <w:szCs w:val="32"/>
          <w:lang w:val="en-US" w:eastAsia="zh-CN"/>
        </w:rPr>
        <w:t>GB 2760—2024</w:t>
      </w:r>
      <w:r>
        <w:rPr>
          <w:rFonts w:hint="eastAsia" w:ascii="Times New Roman" w:hAnsi="Times New Roman" w:eastAsia="仿宋_GB2312" w:cs="Times New Roman"/>
          <w:snapToGrid w:val="0"/>
          <w:color w:val="000000"/>
          <w:sz w:val="32"/>
          <w:szCs w:val="32"/>
          <w:lang w:eastAsia="zh-CN"/>
        </w:rPr>
        <w:t>）中规定，</w:t>
      </w:r>
      <w:r>
        <w:rPr>
          <w:rFonts w:hint="eastAsia" w:eastAsia="仿宋_GB2312" w:cs="Times New Roman"/>
          <w:snapToGrid w:val="0"/>
          <w:color w:val="000000"/>
          <w:sz w:val="32"/>
          <w:szCs w:val="32"/>
          <w:lang w:val="en-US" w:eastAsia="zh-CN"/>
        </w:rPr>
        <w:t>白酒</w:t>
      </w:r>
      <w:r>
        <w:rPr>
          <w:rFonts w:ascii="Times New Roman" w:hAnsi="Times New Roman" w:eastAsia="仿宋_GB2312" w:cs="Times New Roman"/>
          <w:snapToGrid w:val="0"/>
          <w:color w:val="000000"/>
          <w:sz w:val="32"/>
          <w:szCs w:val="32"/>
        </w:rPr>
        <w:t>中不</w:t>
      </w:r>
      <w:r>
        <w:rPr>
          <w:rFonts w:hint="eastAsia" w:ascii="Times New Roman" w:hAnsi="Times New Roman" w:eastAsia="仿宋_GB2312" w:cs="Times New Roman"/>
          <w:snapToGrid w:val="0"/>
          <w:color w:val="000000"/>
          <w:sz w:val="32"/>
          <w:szCs w:val="32"/>
        </w:rPr>
        <w:t>得</w:t>
      </w:r>
      <w:r>
        <w:rPr>
          <w:rFonts w:ascii="Times New Roman" w:hAnsi="Times New Roman" w:eastAsia="仿宋_GB2312" w:cs="Times New Roman"/>
          <w:snapToGrid w:val="0"/>
          <w:color w:val="000000"/>
          <w:sz w:val="32"/>
          <w:szCs w:val="32"/>
        </w:rPr>
        <w:t>使用</w:t>
      </w:r>
      <w:r>
        <w:rPr>
          <w:rFonts w:hint="eastAsia" w:ascii="Times New Roman" w:hAnsi="Times New Roman" w:eastAsia="仿宋_GB2312" w:cs="Times New Roman"/>
          <w:snapToGrid w:val="0"/>
          <w:color w:val="000000"/>
          <w:sz w:val="32"/>
          <w:szCs w:val="32"/>
          <w:lang w:val="en-US" w:eastAsia="zh-CN"/>
        </w:rPr>
        <w:t>纽甜</w:t>
      </w:r>
      <w:r>
        <w:rPr>
          <w:rFonts w:ascii="Times New Roman" w:hAnsi="Times New Roman" w:eastAsia="仿宋_GB2312" w:cs="Times New Roman"/>
          <w:snapToGrid w:val="0"/>
          <w:color w:val="000000"/>
          <w:sz w:val="32"/>
          <w:szCs w:val="32"/>
        </w:rPr>
        <w:t>。</w:t>
      </w:r>
      <w:r>
        <w:rPr>
          <w:rFonts w:hint="eastAsia" w:eastAsia="仿宋_GB2312" w:cs="Times New Roman"/>
          <w:snapToGrid w:val="0"/>
          <w:color w:val="000000"/>
          <w:sz w:val="32"/>
          <w:szCs w:val="32"/>
          <w:lang w:val="en-US" w:eastAsia="zh-CN"/>
        </w:rPr>
        <w:t>散装白酒</w:t>
      </w:r>
      <w:r>
        <w:rPr>
          <w:rFonts w:hint="eastAsia" w:ascii="Times New Roman" w:hAnsi="Times New Roman" w:eastAsia="仿宋_GB2312" w:cs="Times New Roman"/>
          <w:snapToGrid w:val="0"/>
          <w:color w:val="000000"/>
          <w:sz w:val="32"/>
          <w:szCs w:val="32"/>
        </w:rPr>
        <w:t>中</w:t>
      </w:r>
      <w:r>
        <w:rPr>
          <w:rFonts w:hint="eastAsia" w:eastAsia="仿宋_GB2312" w:cs="Times New Roman"/>
          <w:snapToGrid w:val="0"/>
          <w:color w:val="000000"/>
          <w:sz w:val="32"/>
          <w:szCs w:val="32"/>
          <w:lang w:val="en-US" w:eastAsia="zh-CN"/>
        </w:rPr>
        <w:t>检出纽甜</w:t>
      </w:r>
      <w:r>
        <w:rPr>
          <w:rFonts w:hint="eastAsia" w:ascii="Times New Roman" w:hAnsi="Times New Roman" w:eastAsia="仿宋_GB2312" w:cs="Times New Roman"/>
          <w:snapToGrid w:val="0"/>
          <w:color w:val="000000"/>
          <w:sz w:val="32"/>
          <w:szCs w:val="32"/>
        </w:rPr>
        <w:t>的原因，可能是生产</w:t>
      </w:r>
      <w:r>
        <w:rPr>
          <w:rFonts w:hint="eastAsia" w:eastAsia="仿宋_GB2312" w:cs="Times New Roman"/>
          <w:snapToGrid w:val="0"/>
          <w:color w:val="000000"/>
          <w:sz w:val="32"/>
          <w:szCs w:val="32"/>
          <w:lang w:val="en-US" w:eastAsia="zh-CN"/>
        </w:rPr>
        <w:t>经营者</w:t>
      </w:r>
      <w:r>
        <w:rPr>
          <w:rFonts w:hint="eastAsia" w:ascii="Times New Roman" w:hAnsi="Times New Roman" w:eastAsia="仿宋_GB2312" w:cs="Times New Roman"/>
          <w:snapToGrid w:val="0"/>
          <w:color w:val="000000"/>
          <w:sz w:val="32"/>
          <w:szCs w:val="32"/>
          <w:lang w:val="en-US" w:eastAsia="zh-CN"/>
        </w:rPr>
        <w:t>违规添加以</w:t>
      </w:r>
      <w:r>
        <w:rPr>
          <w:rFonts w:hint="eastAsia" w:ascii="Times New Roman" w:hAnsi="Times New Roman" w:eastAsia="仿宋_GB2312" w:cs="Times New Roman"/>
          <w:snapToGrid w:val="0"/>
          <w:color w:val="000000"/>
          <w:sz w:val="32"/>
          <w:szCs w:val="32"/>
          <w:lang w:eastAsia="zh-CN"/>
        </w:rPr>
        <w:t>改善口感</w:t>
      </w:r>
      <w:r>
        <w:rPr>
          <w:rFonts w:hint="eastAsia" w:eastAsia="仿宋_GB2312" w:cs="Times New Roman"/>
          <w:snapToGrid w:val="0"/>
          <w:color w:val="000000"/>
          <w:sz w:val="32"/>
          <w:szCs w:val="32"/>
          <w:lang w:eastAsia="zh-CN"/>
        </w:rPr>
        <w:t>；</w:t>
      </w:r>
      <w:r>
        <w:rPr>
          <w:rFonts w:ascii="Times New Roman" w:hAnsi="Times New Roman" w:eastAsia="仿宋_GB2312" w:cs="Times New Roman"/>
          <w:snapToGrid w:val="0"/>
          <w:color w:val="000000"/>
          <w:sz w:val="32"/>
          <w:szCs w:val="32"/>
        </w:rPr>
        <w:t>也可能</w:t>
      </w:r>
      <w:r>
        <w:rPr>
          <w:rFonts w:hint="eastAsia" w:ascii="Times New Roman" w:hAnsi="Times New Roman" w:eastAsia="仿宋_GB2312" w:cs="Times New Roman"/>
          <w:snapToGrid w:val="0"/>
          <w:color w:val="000000"/>
          <w:sz w:val="32"/>
          <w:szCs w:val="32"/>
          <w:lang w:eastAsia="zh-CN"/>
        </w:rPr>
        <w:t>是</w:t>
      </w:r>
      <w:r>
        <w:rPr>
          <w:rFonts w:hint="eastAsia" w:ascii="Times New Roman" w:hAnsi="Times New Roman" w:eastAsia="仿宋_GB2312" w:cs="Times New Roman"/>
          <w:snapToGrid w:val="0"/>
          <w:color w:val="000000"/>
          <w:sz w:val="32"/>
          <w:szCs w:val="32"/>
          <w:lang w:val="en-US" w:eastAsia="zh-CN"/>
        </w:rPr>
        <w:t>在生产</w:t>
      </w:r>
      <w:r>
        <w:rPr>
          <w:rFonts w:hint="eastAsia" w:eastAsia="仿宋_GB2312" w:cs="Times New Roman"/>
          <w:snapToGrid w:val="0"/>
          <w:color w:val="000000"/>
          <w:sz w:val="32"/>
          <w:szCs w:val="32"/>
          <w:lang w:val="en-US" w:eastAsia="zh-CN"/>
        </w:rPr>
        <w:t>经营</w:t>
      </w:r>
      <w:r>
        <w:rPr>
          <w:rFonts w:hint="eastAsia" w:ascii="Times New Roman" w:hAnsi="Times New Roman" w:eastAsia="仿宋_GB2312" w:cs="Times New Roman"/>
          <w:snapToGrid w:val="0"/>
          <w:color w:val="000000"/>
          <w:sz w:val="32"/>
          <w:szCs w:val="32"/>
          <w:lang w:val="en-US" w:eastAsia="zh-CN"/>
        </w:rPr>
        <w:t>过程中与发酵酒交叉污染</w:t>
      </w:r>
      <w:r>
        <w:rPr>
          <w:rFonts w:hint="eastAsia" w:eastAsia="仿宋_GB2312"/>
          <w:snapToGrid w:val="0"/>
          <w:color w:val="000000"/>
          <w:kern w:val="2"/>
          <w:sz w:val="32"/>
          <w:szCs w:val="32"/>
          <w:lang w:val="en-US" w:eastAsia="zh-CN"/>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94" w:lineRule="exact"/>
        <w:ind w:right="0" w:rightChars="0" w:firstLine="640" w:firstLineChars="200"/>
        <w:jc w:val="both"/>
        <w:textAlignment w:val="auto"/>
        <w:rPr>
          <w:rFonts w:hint="eastAsia" w:ascii="Times New Roman" w:hAnsi="Times New Roman" w:eastAsia="黑体" w:cs="黑体"/>
          <w:snapToGrid w:val="0"/>
          <w:color w:val="000000"/>
          <w:sz w:val="32"/>
          <w:szCs w:val="32"/>
          <w:highlight w:val="none"/>
          <w:lang w:val="en-US" w:eastAsia="zh-CN"/>
        </w:rPr>
      </w:pPr>
      <w:r>
        <w:rPr>
          <w:rFonts w:hint="eastAsia" w:ascii="Times New Roman" w:hAnsi="Times New Roman" w:eastAsia="黑体" w:cs="黑体"/>
          <w:snapToGrid w:val="0"/>
          <w:color w:val="000000"/>
          <w:sz w:val="32"/>
          <w:szCs w:val="32"/>
          <w:highlight w:val="none"/>
          <w:lang w:val="en-US" w:eastAsia="zh-CN"/>
        </w:rPr>
        <w:t>六、柠檬黄</w:t>
      </w:r>
    </w:p>
    <w:p>
      <w:pPr>
        <w:pStyle w:val="2"/>
        <w:numPr>
          <w:ilvl w:val="0"/>
          <w:numId w:val="0"/>
        </w:numPr>
        <w:topLinePunct w:val="0"/>
        <w:adjustRightInd w:val="0"/>
        <w:snapToGrid w:val="0"/>
        <w:spacing w:after="0" w:line="594" w:lineRule="exact"/>
        <w:ind w:left="0" w:leftChars="0" w:firstLine="640" w:firstLineChars="200"/>
        <w:rPr>
          <w:rFonts w:hint="eastAsia" w:ascii="Times New Roman" w:hAnsi="Times New Roman" w:eastAsia="仿宋_GB2312" w:cs="仿宋_GB2312"/>
          <w:snapToGrid w:val="0"/>
          <w:color w:val="000000"/>
          <w:sz w:val="32"/>
          <w:szCs w:val="32"/>
          <w:highlight w:val="none"/>
          <w:lang w:val="en-US" w:eastAsia="zh-CN"/>
        </w:rPr>
      </w:pPr>
      <w:r>
        <w:rPr>
          <w:rFonts w:hint="eastAsia" w:ascii="Times New Roman" w:hAnsi="Times New Roman" w:eastAsia="仿宋_GB2312" w:cs="仿宋_GB2312"/>
          <w:snapToGrid w:val="0"/>
          <w:color w:val="000000"/>
          <w:sz w:val="32"/>
          <w:szCs w:val="32"/>
          <w:highlight w:val="none"/>
          <w:lang w:val="en-US" w:eastAsia="zh-CN"/>
        </w:rPr>
        <w:t>柠檬黄又名食用黄色4号，属于水溶性偶氮化合物，是常见的人工合成着色剂，在食品生产中应用广泛。《食品安全国家标准 食品添加剂使用标准》（GB 2760—2024）中规定，糕点（除糕点上彩装外和焙烤食品馅料及表面用挂浆外）、</w:t>
      </w:r>
      <w:r>
        <w:rPr>
          <w:rFonts w:hint="eastAsia" w:ascii="Times New Roman" w:hAnsi="Times New Roman" w:eastAsia="仿宋_GB2312" w:cs="仿宋_GB2312"/>
          <w:snapToGrid w:val="0"/>
          <w:color w:val="000000"/>
          <w:kern w:val="2"/>
          <w:sz w:val="32"/>
          <w:szCs w:val="32"/>
          <w:highlight w:val="none"/>
          <w:lang w:val="en-US" w:eastAsia="zh-CN" w:bidi="ar-SA"/>
        </w:rPr>
        <w:t>生干面制品</w:t>
      </w:r>
      <w:r>
        <w:rPr>
          <w:rFonts w:hint="eastAsia" w:ascii="Times New Roman" w:hAnsi="Times New Roman" w:eastAsia="仿宋_GB2312" w:cs="仿宋_GB2312"/>
          <w:snapToGrid w:val="0"/>
          <w:color w:val="000000"/>
          <w:sz w:val="32"/>
          <w:szCs w:val="32"/>
          <w:highlight w:val="none"/>
          <w:lang w:val="en-US" w:eastAsia="zh-CN"/>
        </w:rPr>
        <w:t>中</w:t>
      </w:r>
      <w:r>
        <w:rPr>
          <w:rFonts w:hint="eastAsia" w:ascii="Times New Roman" w:hAnsi="Times New Roman" w:eastAsia="仿宋_GB2312" w:cs="仿宋_GB2312"/>
          <w:snapToGrid w:val="0"/>
          <w:color w:val="000000"/>
          <w:kern w:val="2"/>
          <w:sz w:val="32"/>
          <w:szCs w:val="32"/>
          <w:highlight w:val="none"/>
          <w:lang w:val="en-US" w:eastAsia="zh-CN" w:bidi="ar-SA"/>
        </w:rPr>
        <w:t>不得使用柠檬黄。糕点、挂面中检出柠檬黄的</w:t>
      </w:r>
      <w:r>
        <w:rPr>
          <w:rFonts w:hint="eastAsia" w:ascii="Times New Roman" w:hAnsi="Times New Roman" w:eastAsia="仿宋_GB2312" w:cs="仿宋_GB2312"/>
          <w:snapToGrid w:val="0"/>
          <w:color w:val="000000"/>
          <w:spacing w:val="0"/>
          <w:kern w:val="2"/>
          <w:sz w:val="32"/>
          <w:szCs w:val="32"/>
          <w:highlight w:val="none"/>
          <w:lang w:val="en-US" w:eastAsia="zh-CN" w:bidi="ar-SA"/>
        </w:rPr>
        <w:t>原因，</w:t>
      </w:r>
      <w:r>
        <w:rPr>
          <w:rFonts w:hint="eastAsia" w:ascii="Times New Roman" w:hAnsi="Times New Roman" w:eastAsia="仿宋_GB2312" w:cs="仿宋_GB2312"/>
          <w:snapToGrid w:val="0"/>
          <w:color w:val="000000"/>
          <w:sz w:val="32"/>
          <w:szCs w:val="32"/>
          <w:highlight w:val="none"/>
          <w:lang w:val="en-US" w:eastAsia="zh-CN"/>
        </w:rPr>
        <w:t>可能是企业为改善产品色泽在生产加工过程中超范围使用；</w:t>
      </w:r>
      <w:r>
        <w:rPr>
          <w:rFonts w:hint="eastAsia" w:ascii="Times New Roman" w:hAnsi="Times New Roman" w:eastAsia="仿宋_GB2312" w:cs="仿宋_GB2312"/>
          <w:snapToGrid w:val="0"/>
          <w:color w:val="000000"/>
          <w:kern w:val="2"/>
          <w:sz w:val="32"/>
          <w:szCs w:val="32"/>
          <w:highlight w:val="none"/>
          <w:lang w:val="en-US" w:eastAsia="zh-CN" w:bidi="ar-SA"/>
        </w:rPr>
        <w:t>也可能是企业在生产过程中未严格控制配料中色素的带入。</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94" w:lineRule="exact"/>
        <w:ind w:firstLine="640" w:firstLineChars="200"/>
        <w:textAlignment w:val="auto"/>
        <w:rPr>
          <w:rFonts w:hint="eastAsia" w:ascii="Times New Roman" w:hAnsi="Times New Roman" w:eastAsia="黑体" w:cs="黑体"/>
          <w:snapToGrid w:val="0"/>
          <w:color w:val="000000"/>
          <w:spacing w:val="0"/>
          <w:sz w:val="32"/>
          <w:szCs w:val="32"/>
          <w:highlight w:val="none"/>
          <w:lang w:val="en-US" w:eastAsia="zh-CN"/>
        </w:rPr>
      </w:pPr>
      <w:r>
        <w:rPr>
          <w:rFonts w:hint="eastAsia" w:ascii="Times New Roman" w:hAnsi="Times New Roman" w:eastAsia="黑体" w:cs="黑体"/>
          <w:snapToGrid w:val="0"/>
          <w:color w:val="000000"/>
          <w:sz w:val="32"/>
          <w:szCs w:val="32"/>
          <w:lang w:val="en-US" w:eastAsia="zh-CN"/>
        </w:rPr>
        <w:t>七、</w:t>
      </w:r>
      <w:r>
        <w:rPr>
          <w:rFonts w:hint="eastAsia" w:ascii="Times New Roman" w:hAnsi="Times New Roman" w:eastAsia="黑体" w:cs="黑体"/>
          <w:snapToGrid w:val="0"/>
          <w:color w:val="000000"/>
          <w:sz w:val="32"/>
          <w:szCs w:val="32"/>
          <w:highlight w:val="none"/>
          <w:lang w:val="en-US" w:eastAsia="zh-CN"/>
        </w:rPr>
        <w:t>铝的残留量（干样品，以Al计）</w:t>
      </w:r>
    </w:p>
    <w:p>
      <w:pPr>
        <w:numPr>
          <w:ilvl w:val="0"/>
          <w:numId w:val="0"/>
        </w:numPr>
        <w:topLinePunct w:val="0"/>
        <w:autoSpaceDE/>
        <w:adjustRightInd w:val="0"/>
        <w:snapToGrid w:val="0"/>
        <w:spacing w:line="594" w:lineRule="exact"/>
        <w:ind w:firstLine="640" w:firstLineChars="200"/>
        <w:rPr>
          <w:rFonts w:hint="eastAsia" w:ascii="Times New Roman" w:hAnsi="Times New Roman" w:eastAsia="仿宋_GB2312" w:cs="仿宋_GB2312"/>
          <w:snapToGrid w:val="0"/>
          <w:color w:val="000000"/>
          <w:kern w:val="2"/>
          <w:sz w:val="32"/>
          <w:szCs w:val="32"/>
          <w:highlight w:val="none"/>
          <w:lang w:val="en-US" w:eastAsia="zh-CN" w:bidi="ar-SA"/>
        </w:rPr>
      </w:pPr>
      <w:r>
        <w:rPr>
          <w:rFonts w:hint="eastAsia" w:ascii="Times New Roman" w:hAnsi="Times New Roman" w:eastAsia="仿宋_GB2312" w:cs="仿宋_GB2312"/>
          <w:snapToGrid w:val="0"/>
          <w:color w:val="000000"/>
          <w:sz w:val="32"/>
          <w:szCs w:val="32"/>
          <w:highlight w:val="none"/>
          <w:lang w:val="en-US" w:eastAsia="zh-CN"/>
        </w:rPr>
        <w:t>含铝食品添加剂，比如硫酸铝钾（又名钾明矾）、硫酸铝铵（又名铵明矾）等，在食品中作为膨松剂、稳定剂使用，使用后会产生铝残留。</w:t>
      </w:r>
      <w:r>
        <w:rPr>
          <w:rFonts w:hint="eastAsia" w:ascii="Times New Roman" w:hAnsi="Times New Roman" w:eastAsia="仿宋_GB2312" w:cs="仿宋_GB2312"/>
          <w:snapToGrid w:val="0"/>
          <w:color w:val="000000"/>
          <w:sz w:val="32"/>
          <w:szCs w:val="32"/>
          <w:lang w:val="en-US" w:eastAsia="zh-CN"/>
        </w:rPr>
        <w:t>《食品安全国家标准 食品添加剂使用标准》（GB 2760—2024）中规定，糕点中铝的残留量（干样品，以Al计）最大限量值为100mg/kg，粉丝粉条中铝的残留量（干样品，以Al计）最大限量值为200mg/kg</w:t>
      </w:r>
      <w:r>
        <w:rPr>
          <w:rFonts w:hint="eastAsia" w:ascii="Times New Roman" w:hAnsi="Times New Roman" w:eastAsia="仿宋_GB2312" w:cs="仿宋_GB2312"/>
          <w:snapToGrid w:val="0"/>
          <w:color w:val="000000"/>
          <w:kern w:val="2"/>
          <w:sz w:val="32"/>
          <w:szCs w:val="32"/>
          <w:lang w:val="en-US" w:eastAsia="zh-CN" w:bidi="ar-SA"/>
        </w:rPr>
        <w:t>。糕点、粉丝粉条</w:t>
      </w:r>
      <w:r>
        <w:rPr>
          <w:rFonts w:hint="eastAsia" w:ascii="Times New Roman" w:hAnsi="Times New Roman" w:eastAsia="仿宋_GB2312" w:cs="仿宋_GB2312"/>
          <w:snapToGrid w:val="0"/>
          <w:color w:val="000000"/>
          <w:sz w:val="32"/>
          <w:szCs w:val="32"/>
          <w:lang w:val="en-US" w:eastAsia="zh-CN"/>
        </w:rPr>
        <w:t>中铝的残留量（干样品，以Al计）超标的原因，可能是食品生产经营者在生产加工过程中未控制好含铝食品添加剂的使用量；也可能是其使用的复配食品添加剂中铝含量过高。</w:t>
      </w:r>
    </w:p>
    <w:p>
      <w:pPr>
        <w:pStyle w:val="2"/>
        <w:keepNext w:val="0"/>
        <w:keepLines w:val="0"/>
        <w:pageBreakBefore w:val="0"/>
        <w:widowControl w:val="0"/>
        <w:numPr>
          <w:ilvl w:val="0"/>
          <w:numId w:val="0"/>
        </w:numPr>
        <w:kinsoku/>
        <w:wordWrap/>
        <w:overflowPunct w:val="0"/>
        <w:topLinePunct w:val="0"/>
        <w:autoSpaceDE/>
        <w:autoSpaceDN/>
        <w:bidi w:val="0"/>
        <w:adjustRightInd w:val="0"/>
        <w:snapToGrid w:val="0"/>
        <w:spacing w:after="0" w:line="594" w:lineRule="exact"/>
        <w:ind w:left="0" w:leftChars="0" w:firstLine="640" w:firstLineChars="200"/>
        <w:jc w:val="both"/>
        <w:textAlignment w:val="auto"/>
        <w:rPr>
          <w:rFonts w:hint="eastAsia" w:ascii="Times New Roman" w:hAnsi="Times New Roman" w:eastAsia="黑体" w:cs="黑体"/>
          <w:snapToGrid w:val="0"/>
          <w:color w:val="000000"/>
          <w:szCs w:val="32"/>
          <w:highlight w:val="none"/>
          <w:lang w:eastAsia="zh-CN"/>
        </w:rPr>
      </w:pPr>
      <w:r>
        <w:rPr>
          <w:rFonts w:hint="eastAsia" w:ascii="Times New Roman" w:hAnsi="Times New Roman" w:eastAsia="黑体" w:cs="黑体"/>
          <w:snapToGrid w:val="0"/>
          <w:color w:val="000000"/>
          <w:sz w:val="32"/>
          <w:szCs w:val="32"/>
          <w:highlight w:val="none"/>
          <w:lang w:val="en-US" w:eastAsia="zh-CN"/>
        </w:rPr>
        <w:t>八、</w:t>
      </w:r>
      <w:r>
        <w:rPr>
          <w:rFonts w:hint="eastAsia" w:ascii="Times New Roman" w:hAnsi="Times New Roman" w:eastAsia="黑体" w:cs="黑体"/>
          <w:snapToGrid w:val="0"/>
          <w:color w:val="000000"/>
          <w:szCs w:val="32"/>
          <w:highlight w:val="none"/>
          <w:lang w:eastAsia="zh-CN"/>
        </w:rPr>
        <w:t>过氧化值（以脂肪计）</w:t>
      </w:r>
    </w:p>
    <w:p>
      <w:pPr>
        <w:pStyle w:val="2"/>
        <w:topLinePunct w:val="0"/>
        <w:adjustRightInd w:val="0"/>
        <w:snapToGrid w:val="0"/>
        <w:spacing w:after="0" w:line="594" w:lineRule="exact"/>
        <w:ind w:left="0" w:leftChars="0"/>
        <w:rPr>
          <w:rFonts w:hint="eastAsia" w:ascii="Times New Roman" w:hAnsi="Times New Roman" w:eastAsia="仿宋_GB2312" w:cs="仿宋_GB2312"/>
          <w:snapToGrid w:val="0"/>
          <w:color w:val="000000"/>
          <w:sz w:val="32"/>
          <w:szCs w:val="32"/>
          <w:highlight w:val="none"/>
          <w:lang w:val="en-US" w:eastAsia="zh-CN"/>
        </w:rPr>
      </w:pPr>
      <w:r>
        <w:rPr>
          <w:rFonts w:hint="eastAsia" w:ascii="Times New Roman" w:hAnsi="Times New Roman" w:eastAsia="仿宋_GB2312" w:cs="仿宋_GB2312"/>
          <w:snapToGrid w:val="0"/>
          <w:color w:val="000000"/>
          <w:sz w:val="32"/>
          <w:szCs w:val="32"/>
          <w:lang w:val="en-US" w:eastAsia="zh-CN"/>
        </w:rPr>
        <w:t>过氧化值是油脂酸败的早期指标，主要反映油脂被氧化的程度。</w:t>
      </w:r>
      <w:r>
        <w:rPr>
          <w:rFonts w:hint="eastAsia" w:ascii="Times New Roman" w:hAnsi="Times New Roman" w:eastAsia="仿宋_GB2312" w:cs="仿宋_GB2312"/>
          <w:snapToGrid w:val="0"/>
          <w:color w:val="000000"/>
          <w:sz w:val="32"/>
          <w:szCs w:val="32"/>
          <w:highlight w:val="none"/>
          <w:lang w:val="en-US" w:eastAsia="zh-CN"/>
        </w:rPr>
        <w:t>《食品安全国家标准 糕点、面包》（GB 7099—2015）</w:t>
      </w:r>
      <w:r>
        <w:rPr>
          <w:rFonts w:hint="eastAsia" w:ascii="Times New Roman" w:hAnsi="Times New Roman" w:eastAsia="仿宋_GB2312" w:cs="仿宋_GB2312"/>
          <w:snapToGrid w:val="0"/>
          <w:color w:val="000000"/>
          <w:sz w:val="32"/>
          <w:szCs w:val="32"/>
        </w:rPr>
        <w:t>中规定，</w:t>
      </w:r>
      <w:r>
        <w:rPr>
          <w:rFonts w:hint="eastAsia" w:ascii="Times New Roman" w:hAnsi="Times New Roman" w:eastAsia="仿宋_GB2312" w:cs="仿宋_GB2312"/>
          <w:snapToGrid w:val="0"/>
          <w:color w:val="000000"/>
          <w:sz w:val="32"/>
          <w:szCs w:val="32"/>
          <w:lang w:val="en-US" w:eastAsia="zh-CN"/>
        </w:rPr>
        <w:t>糕点</w:t>
      </w:r>
      <w:r>
        <w:rPr>
          <w:rFonts w:hint="eastAsia" w:ascii="Times New Roman" w:hAnsi="Times New Roman" w:eastAsia="仿宋_GB2312" w:cs="仿宋_GB2312"/>
          <w:snapToGrid w:val="0"/>
          <w:color w:val="000000"/>
          <w:sz w:val="32"/>
          <w:szCs w:val="32"/>
          <w:highlight w:val="none"/>
          <w:lang w:val="en-US" w:eastAsia="zh-CN"/>
        </w:rPr>
        <w:t>中</w:t>
      </w:r>
      <w:r>
        <w:rPr>
          <w:rFonts w:hint="eastAsia" w:ascii="Times New Roman" w:hAnsi="Times New Roman" w:eastAsia="仿宋_GB2312" w:cs="仿宋_GB2312"/>
          <w:snapToGrid w:val="0"/>
          <w:color w:val="000000"/>
          <w:sz w:val="32"/>
          <w:szCs w:val="32"/>
        </w:rPr>
        <w:t>过氧化值（以脂肪计）的最大限量值为0.</w:t>
      </w:r>
      <w:r>
        <w:rPr>
          <w:rFonts w:hint="eastAsia" w:ascii="Times New Roman" w:hAnsi="Times New Roman" w:eastAsia="仿宋_GB2312" w:cs="仿宋_GB2312"/>
          <w:snapToGrid w:val="0"/>
          <w:color w:val="000000"/>
          <w:sz w:val="32"/>
          <w:szCs w:val="32"/>
          <w:lang w:val="en-US" w:eastAsia="zh-CN"/>
        </w:rPr>
        <w:t>25</w:t>
      </w:r>
      <w:r>
        <w:rPr>
          <w:rFonts w:hint="eastAsia" w:ascii="Times New Roman" w:hAnsi="Times New Roman" w:eastAsia="仿宋_GB2312" w:cs="仿宋_GB2312"/>
          <w:snapToGrid w:val="0"/>
          <w:color w:val="000000"/>
          <w:sz w:val="32"/>
          <w:szCs w:val="32"/>
        </w:rPr>
        <w:t>g/100g</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highlight w:val="none"/>
          <w:lang w:val="en-US" w:eastAsia="zh-CN"/>
        </w:rPr>
        <w:t>食品安全国家标准 速冻面米与调制食品</w:t>
      </w:r>
      <w:r>
        <w:rPr>
          <w:rFonts w:hint="eastAsia" w:ascii="Times New Roman" w:hAnsi="Times New Roman" w:eastAsia="仿宋_GB2312" w:cs="仿宋_GB2312"/>
          <w:snapToGrid w:val="0"/>
          <w:color w:val="000000"/>
          <w:spacing w:val="0"/>
          <w:sz w:val="32"/>
          <w:szCs w:val="32"/>
          <w:highlight w:val="none"/>
        </w:rPr>
        <w:t>》（</w:t>
      </w:r>
      <w:r>
        <w:rPr>
          <w:rFonts w:hint="eastAsia" w:ascii="Times New Roman" w:hAnsi="Times New Roman" w:eastAsia="仿宋_GB2312" w:cs="仿宋_GB2312"/>
          <w:snapToGrid w:val="0"/>
          <w:color w:val="000000"/>
          <w:sz w:val="32"/>
          <w:szCs w:val="32"/>
          <w:highlight w:val="none"/>
          <w:lang w:val="en-US" w:eastAsia="zh-CN"/>
        </w:rPr>
        <w:t>GB 19295—2021</w:t>
      </w:r>
      <w:r>
        <w:rPr>
          <w:rFonts w:hint="eastAsia" w:ascii="Times New Roman" w:hAnsi="Times New Roman" w:eastAsia="仿宋_GB2312" w:cs="仿宋_GB2312"/>
          <w:snapToGrid w:val="0"/>
          <w:color w:val="000000"/>
          <w:spacing w:val="0"/>
          <w:sz w:val="32"/>
          <w:szCs w:val="32"/>
          <w:highlight w:val="none"/>
        </w:rPr>
        <w:t>）</w:t>
      </w:r>
      <w:r>
        <w:rPr>
          <w:rFonts w:hint="eastAsia" w:ascii="Times New Roman" w:hAnsi="Times New Roman" w:eastAsia="仿宋_GB2312" w:cs="仿宋_GB2312"/>
          <w:snapToGrid w:val="0"/>
          <w:color w:val="000000"/>
          <w:sz w:val="32"/>
          <w:szCs w:val="32"/>
          <w:highlight w:val="none"/>
          <w:lang w:val="en-US" w:eastAsia="zh-CN"/>
        </w:rPr>
        <w:t>中规定，速冻调制食品中过氧化值</w:t>
      </w:r>
      <w:r>
        <w:rPr>
          <w:rFonts w:hint="eastAsia" w:ascii="Times New Roman" w:hAnsi="Times New Roman" w:eastAsia="仿宋_GB2312" w:cs="仿宋_GB2312"/>
          <w:snapToGrid w:val="0"/>
          <w:color w:val="000000"/>
          <w:spacing w:val="0"/>
          <w:sz w:val="32"/>
          <w:szCs w:val="32"/>
          <w:highlight w:val="none"/>
        </w:rPr>
        <w:t>（</w:t>
      </w:r>
      <w:r>
        <w:rPr>
          <w:rFonts w:hint="eastAsia" w:ascii="Times New Roman" w:hAnsi="Times New Roman" w:eastAsia="仿宋_GB2312" w:cs="仿宋_GB2312"/>
          <w:snapToGrid w:val="0"/>
          <w:color w:val="000000"/>
          <w:sz w:val="32"/>
          <w:szCs w:val="32"/>
          <w:highlight w:val="none"/>
          <w:lang w:val="en-US" w:eastAsia="zh-CN"/>
        </w:rPr>
        <w:t>以脂肪计</w:t>
      </w:r>
      <w:r>
        <w:rPr>
          <w:rFonts w:hint="eastAsia" w:ascii="Times New Roman" w:hAnsi="Times New Roman" w:eastAsia="仿宋_GB2312" w:cs="仿宋_GB2312"/>
          <w:snapToGrid w:val="0"/>
          <w:color w:val="000000"/>
          <w:sz w:val="32"/>
          <w:szCs w:val="32"/>
          <w:highlight w:val="none"/>
        </w:rPr>
        <w:t>）</w:t>
      </w:r>
      <w:r>
        <w:rPr>
          <w:rFonts w:hint="eastAsia" w:ascii="Times New Roman" w:hAnsi="Times New Roman" w:eastAsia="仿宋_GB2312" w:cs="仿宋_GB2312"/>
          <w:snapToGrid w:val="0"/>
          <w:color w:val="000000"/>
          <w:sz w:val="32"/>
          <w:szCs w:val="32"/>
          <w:highlight w:val="none"/>
          <w:lang w:val="en-US" w:eastAsia="zh-CN"/>
        </w:rPr>
        <w:t>的最大限量值为0.25g/100g；</w:t>
      </w:r>
      <w:r>
        <w:rPr>
          <w:rFonts w:hint="eastAsia" w:ascii="Times New Roman" w:hAnsi="Times New Roman" w:eastAsia="仿宋_GB2312" w:cs="仿宋_GB2312"/>
          <w:snapToGrid w:val="0"/>
          <w:color w:val="000000"/>
          <w:sz w:val="32"/>
          <w:szCs w:val="32"/>
        </w:rPr>
        <w:t>《食品安全国家标准 坚果与籽类食品》（GB 19300—2014）中规定，</w:t>
      </w:r>
      <w:r>
        <w:rPr>
          <w:rFonts w:hint="eastAsia" w:ascii="Times New Roman" w:hAnsi="Times New Roman" w:eastAsia="仿宋_GB2312" w:cs="仿宋_GB2312"/>
          <w:snapToGrid w:val="0"/>
          <w:color w:val="000000"/>
          <w:sz w:val="32"/>
          <w:szCs w:val="32"/>
          <w:highlight w:val="none"/>
          <w:lang w:val="en-US" w:eastAsia="zh-CN"/>
        </w:rPr>
        <w:t>熟制葵花籽中</w:t>
      </w:r>
      <w:r>
        <w:rPr>
          <w:rFonts w:hint="eastAsia" w:ascii="Times New Roman" w:hAnsi="Times New Roman" w:eastAsia="仿宋_GB2312" w:cs="仿宋_GB2312"/>
          <w:snapToGrid w:val="0"/>
          <w:color w:val="000000"/>
          <w:sz w:val="32"/>
          <w:szCs w:val="32"/>
        </w:rPr>
        <w:t>过氧化值（以脂肪计）的最大限量值为0.</w:t>
      </w:r>
      <w:r>
        <w:rPr>
          <w:rFonts w:hint="eastAsia" w:ascii="Times New Roman" w:hAnsi="Times New Roman" w:eastAsia="仿宋_GB2312" w:cs="仿宋_GB2312"/>
          <w:snapToGrid w:val="0"/>
          <w:color w:val="000000"/>
          <w:sz w:val="32"/>
          <w:szCs w:val="32"/>
          <w:lang w:val="en-US" w:eastAsia="zh-CN"/>
        </w:rPr>
        <w:t>8</w:t>
      </w:r>
      <w:r>
        <w:rPr>
          <w:rFonts w:hint="eastAsia" w:ascii="Times New Roman" w:hAnsi="Times New Roman" w:eastAsia="仿宋_GB2312" w:cs="仿宋_GB2312"/>
          <w:snapToGrid w:val="0"/>
          <w:color w:val="000000"/>
          <w:sz w:val="32"/>
          <w:szCs w:val="32"/>
        </w:rPr>
        <w:t>0g/100g</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lang w:val="en-US" w:eastAsia="zh-CN"/>
        </w:rPr>
        <w:t>其他熟制坚果与籽类食品中</w:t>
      </w:r>
      <w:r>
        <w:rPr>
          <w:rFonts w:hint="eastAsia" w:ascii="Times New Roman" w:hAnsi="Times New Roman" w:eastAsia="仿宋_GB2312" w:cs="仿宋_GB2312"/>
          <w:snapToGrid w:val="0"/>
          <w:color w:val="000000"/>
          <w:sz w:val="32"/>
          <w:szCs w:val="32"/>
        </w:rPr>
        <w:t>过氧化值（以脂肪计）的最大限量值为0.</w:t>
      </w:r>
      <w:r>
        <w:rPr>
          <w:rFonts w:hint="eastAsia" w:ascii="Times New Roman" w:hAnsi="Times New Roman" w:eastAsia="仿宋_GB2312" w:cs="仿宋_GB2312"/>
          <w:snapToGrid w:val="0"/>
          <w:color w:val="000000"/>
          <w:sz w:val="32"/>
          <w:szCs w:val="32"/>
          <w:lang w:val="en-US" w:eastAsia="zh-CN"/>
        </w:rPr>
        <w:t>5</w:t>
      </w:r>
      <w:r>
        <w:rPr>
          <w:rFonts w:hint="eastAsia" w:ascii="Times New Roman" w:hAnsi="Times New Roman" w:eastAsia="仿宋_GB2312" w:cs="仿宋_GB2312"/>
          <w:snapToGrid w:val="0"/>
          <w:color w:val="000000"/>
          <w:sz w:val="32"/>
          <w:szCs w:val="32"/>
        </w:rPr>
        <w:t>0g/100g</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lang w:val="en-US" w:eastAsia="zh-CN"/>
        </w:rPr>
        <w:t>糕点、</w:t>
      </w:r>
      <w:r>
        <w:rPr>
          <w:rFonts w:hint="eastAsia" w:ascii="Times New Roman" w:hAnsi="Times New Roman" w:eastAsia="仿宋_GB2312" w:cs="仿宋_GB2312"/>
          <w:snapToGrid w:val="0"/>
          <w:color w:val="000000"/>
          <w:sz w:val="32"/>
          <w:szCs w:val="32"/>
          <w:highlight w:val="none"/>
          <w:lang w:val="en-US" w:eastAsia="zh-CN"/>
        </w:rPr>
        <w:t>速冻调制食品、熟制坚果与籽类食品</w:t>
      </w:r>
      <w:r>
        <w:rPr>
          <w:rFonts w:hint="eastAsia" w:ascii="Times New Roman" w:hAnsi="Times New Roman" w:eastAsia="仿宋_GB2312" w:cs="仿宋_GB2312"/>
          <w:snapToGrid w:val="0"/>
          <w:color w:val="000000"/>
          <w:sz w:val="32"/>
          <w:szCs w:val="32"/>
          <w:lang w:val="en-US" w:eastAsia="zh-CN"/>
        </w:rPr>
        <w:t>中过氧化值（以脂肪计）检验值超标的原因，可能是原料中的脂肪已经被氧化；也可能与产品在储运过程中环境条件控制不当等有关。</w:t>
      </w:r>
    </w:p>
    <w:p>
      <w:pPr>
        <w:keepNext w:val="0"/>
        <w:keepLines w:val="0"/>
        <w:pageBreakBefore w:val="0"/>
        <w:widowControl w:val="0"/>
        <w:kinsoku/>
        <w:wordWrap/>
        <w:overflowPunct w:val="0"/>
        <w:topLinePunct w:val="0"/>
        <w:autoSpaceDE/>
        <w:autoSpaceDN/>
        <w:bidi w:val="0"/>
        <w:adjustRightInd w:val="0"/>
        <w:snapToGrid w:val="0"/>
        <w:spacing w:line="594" w:lineRule="exact"/>
        <w:ind w:right="0" w:firstLine="640" w:firstLineChars="200"/>
        <w:jc w:val="both"/>
        <w:textAlignment w:val="auto"/>
        <w:rPr>
          <w:rFonts w:hint="default" w:ascii="Times New Roman" w:hAnsi="Times New Roman" w:eastAsia="黑体" w:cs="Times New Roman"/>
          <w:snapToGrid w:val="0"/>
          <w:color w:val="000000"/>
          <w:sz w:val="32"/>
          <w:szCs w:val="32"/>
          <w:highlight w:val="none"/>
          <w:lang w:eastAsia="zh-CN"/>
        </w:rPr>
      </w:pPr>
      <w:r>
        <w:rPr>
          <w:rFonts w:hint="default" w:ascii="Times New Roman" w:hAnsi="Times New Roman" w:eastAsia="黑体" w:cs="Times New Roman"/>
          <w:snapToGrid w:val="0"/>
          <w:color w:val="000000"/>
          <w:sz w:val="32"/>
          <w:szCs w:val="32"/>
          <w:lang w:val="en-US" w:eastAsia="zh-CN"/>
        </w:rPr>
        <w:t>九、</w:t>
      </w:r>
      <w:r>
        <w:rPr>
          <w:rFonts w:hint="default" w:ascii="Times New Roman" w:hAnsi="Times New Roman" w:eastAsia="黑体" w:cs="Times New Roman"/>
          <w:snapToGrid w:val="0"/>
          <w:color w:val="000000"/>
          <w:sz w:val="32"/>
          <w:szCs w:val="32"/>
          <w:highlight w:val="none"/>
          <w:lang w:eastAsia="zh-CN"/>
        </w:rPr>
        <w:t>亮蓝</w:t>
      </w:r>
    </w:p>
    <w:p>
      <w:pPr>
        <w:keepNext w:val="0"/>
        <w:keepLines w:val="0"/>
        <w:pageBreakBefore w:val="0"/>
        <w:widowControl w:val="0"/>
        <w:kinsoku/>
        <w:wordWrap/>
        <w:overflowPunct w:val="0"/>
        <w:topLinePunct w:val="0"/>
        <w:autoSpaceDE/>
        <w:autoSpaceDN/>
        <w:bidi w:val="0"/>
        <w:adjustRightInd w:val="0"/>
        <w:snapToGrid w:val="0"/>
        <w:spacing w:line="594" w:lineRule="exact"/>
        <w:ind w:right="0" w:firstLine="640" w:firstLineChars="200"/>
        <w:jc w:val="both"/>
        <w:textAlignment w:val="auto"/>
        <w:rPr>
          <w:rFonts w:hint="eastAsia" w:ascii="Times New Roman" w:hAnsi="Times New Roman" w:eastAsia="仿宋_GB2312" w:cs="仿宋_GB2312"/>
          <w:snapToGrid w:val="0"/>
          <w:color w:val="000000"/>
          <w:kern w:val="2"/>
          <w:sz w:val="32"/>
          <w:szCs w:val="32"/>
          <w:highlight w:val="none"/>
          <w:lang w:val="en-US" w:eastAsia="zh-CN" w:bidi="ar-SA"/>
        </w:rPr>
      </w:pPr>
      <w:r>
        <w:rPr>
          <w:rFonts w:hint="eastAsia" w:ascii="Times New Roman" w:hAnsi="Times New Roman" w:eastAsia="仿宋_GB2312" w:cs="仿宋_GB2312"/>
          <w:snapToGrid w:val="0"/>
          <w:color w:val="000000"/>
          <w:sz w:val="32"/>
          <w:szCs w:val="32"/>
          <w:highlight w:val="none"/>
        </w:rPr>
        <w:t>亮蓝又名食用蓝色2号，</w:t>
      </w:r>
      <w:r>
        <w:rPr>
          <w:rFonts w:hint="eastAsia" w:ascii="Times New Roman" w:hAnsi="Times New Roman" w:eastAsia="仿宋_GB2312" w:cs="仿宋_GB2312"/>
          <w:snapToGrid w:val="0"/>
          <w:color w:val="000000"/>
          <w:sz w:val="32"/>
          <w:szCs w:val="32"/>
          <w:highlight w:val="none"/>
          <w:lang w:val="en-US" w:eastAsia="zh-CN"/>
        </w:rPr>
        <w:t>属于</w:t>
      </w:r>
      <w:r>
        <w:rPr>
          <w:rFonts w:hint="eastAsia" w:ascii="Times New Roman" w:hAnsi="Times New Roman" w:eastAsia="仿宋_GB2312" w:cs="仿宋_GB2312"/>
          <w:snapToGrid w:val="0"/>
          <w:color w:val="000000"/>
          <w:sz w:val="32"/>
          <w:szCs w:val="32"/>
          <w:highlight w:val="none"/>
        </w:rPr>
        <w:t>水溶性非偶氮类</w:t>
      </w:r>
      <w:r>
        <w:rPr>
          <w:rFonts w:hint="eastAsia" w:ascii="Times New Roman" w:hAnsi="Times New Roman" w:eastAsia="仿宋_GB2312" w:cs="仿宋_GB2312"/>
          <w:snapToGrid w:val="0"/>
          <w:color w:val="000000"/>
          <w:sz w:val="32"/>
          <w:szCs w:val="32"/>
          <w:highlight w:val="none"/>
          <w:lang w:eastAsia="zh-CN"/>
        </w:rPr>
        <w:t>化合物，</w:t>
      </w:r>
      <w:r>
        <w:rPr>
          <w:rFonts w:hint="eastAsia" w:ascii="Times New Roman" w:hAnsi="Times New Roman" w:eastAsia="仿宋_GB2312" w:cs="仿宋_GB2312"/>
          <w:snapToGrid w:val="0"/>
          <w:color w:val="000000"/>
          <w:sz w:val="32"/>
          <w:szCs w:val="32"/>
          <w:highlight w:val="none"/>
        </w:rPr>
        <w:t>是常见的人工合成着色剂，在食品</w:t>
      </w:r>
      <w:r>
        <w:rPr>
          <w:rFonts w:hint="eastAsia" w:ascii="Times New Roman" w:hAnsi="Times New Roman" w:eastAsia="仿宋_GB2312" w:cs="仿宋_GB2312"/>
          <w:snapToGrid w:val="0"/>
          <w:color w:val="000000"/>
          <w:sz w:val="32"/>
          <w:szCs w:val="32"/>
          <w:highlight w:val="none"/>
          <w:lang w:eastAsia="zh-CN"/>
        </w:rPr>
        <w:t>生产</w:t>
      </w:r>
      <w:r>
        <w:rPr>
          <w:rFonts w:hint="eastAsia" w:ascii="Times New Roman" w:hAnsi="Times New Roman" w:eastAsia="仿宋_GB2312" w:cs="仿宋_GB2312"/>
          <w:snapToGrid w:val="0"/>
          <w:color w:val="000000"/>
          <w:sz w:val="32"/>
          <w:szCs w:val="32"/>
          <w:highlight w:val="none"/>
        </w:rPr>
        <w:t>中应用广泛。</w:t>
      </w:r>
      <w:r>
        <w:rPr>
          <w:rFonts w:hint="eastAsia" w:ascii="Times New Roman" w:hAnsi="Times New Roman" w:eastAsia="仿宋_GB2312" w:cs="仿宋_GB2312"/>
          <w:snapToGrid w:val="0"/>
          <w:color w:val="000000"/>
          <w:sz w:val="32"/>
          <w:szCs w:val="32"/>
          <w:highlight w:val="none"/>
          <w:shd w:val="clear" w:color="auto" w:fill="FFFFFF"/>
          <w:lang w:val="en-US" w:eastAsia="zh-CN"/>
        </w:rPr>
        <w:t>《食品安全国家标准 食品添加剂使用标准》（GB 2760—2024）</w:t>
      </w:r>
      <w:r>
        <w:rPr>
          <w:rFonts w:hint="eastAsia" w:ascii="Times New Roman" w:hAnsi="Times New Roman" w:eastAsia="仿宋_GB2312" w:cs="仿宋_GB2312"/>
          <w:snapToGrid w:val="0"/>
          <w:color w:val="000000"/>
          <w:sz w:val="32"/>
          <w:szCs w:val="32"/>
          <w:highlight w:val="none"/>
        </w:rPr>
        <w:t>中规定，</w:t>
      </w:r>
      <w:r>
        <w:rPr>
          <w:rFonts w:hint="eastAsia" w:ascii="Times New Roman" w:hAnsi="Times New Roman" w:eastAsia="仿宋_GB2312" w:cs="仿宋_GB2312"/>
          <w:snapToGrid w:val="0"/>
          <w:color w:val="000000"/>
          <w:kern w:val="2"/>
          <w:sz w:val="32"/>
          <w:szCs w:val="32"/>
          <w:highlight w:val="none"/>
          <w:lang w:val="en-US" w:eastAsia="zh-CN" w:bidi="ar-SA"/>
        </w:rPr>
        <w:t>生干面制品</w:t>
      </w:r>
      <w:r>
        <w:rPr>
          <w:rFonts w:hint="eastAsia" w:ascii="Times New Roman" w:hAnsi="Times New Roman" w:eastAsia="仿宋_GB2312" w:cs="仿宋_GB2312"/>
          <w:snapToGrid w:val="0"/>
          <w:color w:val="000000"/>
          <w:sz w:val="32"/>
          <w:szCs w:val="32"/>
          <w:highlight w:val="none"/>
        </w:rPr>
        <w:t>中</w:t>
      </w:r>
      <w:r>
        <w:rPr>
          <w:rFonts w:hint="eastAsia" w:ascii="Times New Roman" w:hAnsi="Times New Roman" w:eastAsia="仿宋_GB2312" w:cs="仿宋_GB2312"/>
          <w:snapToGrid w:val="0"/>
          <w:color w:val="000000"/>
          <w:sz w:val="32"/>
          <w:szCs w:val="32"/>
          <w:highlight w:val="none"/>
          <w:lang w:eastAsia="zh-CN"/>
        </w:rPr>
        <w:t>不得使用</w:t>
      </w:r>
      <w:r>
        <w:rPr>
          <w:rFonts w:hint="eastAsia" w:ascii="Times New Roman" w:hAnsi="Times New Roman" w:eastAsia="仿宋_GB2312" w:cs="仿宋_GB2312"/>
          <w:snapToGrid w:val="0"/>
          <w:color w:val="000000"/>
          <w:sz w:val="32"/>
          <w:szCs w:val="32"/>
          <w:highlight w:val="none"/>
        </w:rPr>
        <w:t>亮蓝。</w:t>
      </w:r>
      <w:r>
        <w:rPr>
          <w:rFonts w:hint="eastAsia" w:ascii="Times New Roman" w:hAnsi="Times New Roman" w:eastAsia="仿宋_GB2312" w:cs="仿宋_GB2312"/>
          <w:snapToGrid w:val="0"/>
          <w:color w:val="000000"/>
          <w:kern w:val="2"/>
          <w:sz w:val="32"/>
          <w:szCs w:val="32"/>
          <w:highlight w:val="none"/>
          <w:lang w:val="en-US" w:eastAsia="zh-CN" w:bidi="ar-SA"/>
        </w:rPr>
        <w:t>挂面</w:t>
      </w:r>
      <w:r>
        <w:rPr>
          <w:rFonts w:hint="eastAsia" w:ascii="Times New Roman" w:hAnsi="Times New Roman" w:eastAsia="仿宋_GB2312" w:cs="仿宋_GB2312"/>
          <w:snapToGrid w:val="0"/>
          <w:color w:val="000000"/>
          <w:sz w:val="32"/>
          <w:szCs w:val="32"/>
          <w:highlight w:val="none"/>
        </w:rPr>
        <w:t>中</w:t>
      </w:r>
      <w:r>
        <w:rPr>
          <w:rFonts w:hint="eastAsia" w:ascii="Times New Roman" w:hAnsi="Times New Roman" w:eastAsia="仿宋_GB2312" w:cs="仿宋_GB2312"/>
          <w:snapToGrid w:val="0"/>
          <w:color w:val="000000"/>
          <w:sz w:val="32"/>
          <w:szCs w:val="32"/>
          <w:highlight w:val="none"/>
          <w:lang w:val="en-US" w:eastAsia="zh-CN"/>
        </w:rPr>
        <w:t>检出</w:t>
      </w:r>
      <w:r>
        <w:rPr>
          <w:rFonts w:hint="eastAsia" w:ascii="Times New Roman" w:hAnsi="Times New Roman" w:eastAsia="仿宋_GB2312" w:cs="仿宋_GB2312"/>
          <w:snapToGrid w:val="0"/>
          <w:color w:val="000000"/>
          <w:sz w:val="32"/>
          <w:szCs w:val="32"/>
          <w:highlight w:val="none"/>
        </w:rPr>
        <w:t>亮蓝</w:t>
      </w:r>
      <w:r>
        <w:rPr>
          <w:rFonts w:hint="eastAsia" w:ascii="Times New Roman" w:hAnsi="Times New Roman" w:eastAsia="仿宋_GB2312" w:cs="仿宋_GB2312"/>
          <w:snapToGrid w:val="0"/>
          <w:color w:val="000000"/>
          <w:sz w:val="32"/>
          <w:szCs w:val="32"/>
          <w:highlight w:val="none"/>
          <w:lang w:eastAsia="zh-CN"/>
        </w:rPr>
        <w:t>的原因，</w:t>
      </w:r>
      <w:r>
        <w:rPr>
          <w:rFonts w:hint="eastAsia" w:ascii="Times New Roman" w:hAnsi="Times New Roman" w:eastAsia="仿宋_GB2312" w:cs="仿宋_GB2312"/>
          <w:snapToGrid w:val="0"/>
          <w:color w:val="000000"/>
          <w:sz w:val="32"/>
          <w:szCs w:val="32"/>
          <w:highlight w:val="none"/>
        </w:rPr>
        <w:t>可能是生产企业为改善产品色泽而</w:t>
      </w:r>
      <w:r>
        <w:rPr>
          <w:rFonts w:hint="eastAsia" w:ascii="Times New Roman" w:hAnsi="Times New Roman" w:eastAsia="仿宋_GB2312" w:cs="仿宋_GB2312"/>
          <w:snapToGrid w:val="0"/>
          <w:color w:val="000000"/>
          <w:sz w:val="32"/>
          <w:szCs w:val="32"/>
          <w:highlight w:val="none"/>
          <w:lang w:val="en-US" w:eastAsia="zh-CN"/>
        </w:rPr>
        <w:t>超范围</w:t>
      </w:r>
      <w:r>
        <w:rPr>
          <w:rFonts w:hint="eastAsia" w:ascii="Times New Roman" w:hAnsi="Times New Roman" w:eastAsia="仿宋_GB2312" w:cs="仿宋_GB2312"/>
          <w:snapToGrid w:val="0"/>
          <w:color w:val="000000"/>
          <w:sz w:val="32"/>
          <w:szCs w:val="32"/>
          <w:highlight w:val="none"/>
        </w:rPr>
        <w:t>使用</w:t>
      </w:r>
      <w:r>
        <w:rPr>
          <w:rFonts w:hint="eastAsia" w:ascii="Times New Roman" w:hAnsi="Times New Roman" w:eastAsia="仿宋_GB2312" w:cs="仿宋_GB2312"/>
          <w:snapToGrid w:val="0"/>
          <w:color w:val="000000"/>
          <w:sz w:val="32"/>
          <w:szCs w:val="32"/>
          <w:highlight w:val="none"/>
          <w:lang w:eastAsia="zh-CN"/>
        </w:rPr>
        <w:t>。</w:t>
      </w:r>
    </w:p>
    <w:p>
      <w:pPr>
        <w:topLinePunct w:val="0"/>
        <w:adjustRightInd w:val="0"/>
        <w:snapToGrid w:val="0"/>
        <w:spacing w:line="594" w:lineRule="exact"/>
        <w:ind w:firstLine="640" w:firstLineChars="200"/>
        <w:rPr>
          <w:rFonts w:hint="default" w:eastAsia="黑体"/>
          <w:snapToGrid w:val="0"/>
          <w:color w:val="000000"/>
          <w:spacing w:val="0"/>
          <w:sz w:val="32"/>
          <w:szCs w:val="32"/>
          <w:highlight w:val="none"/>
          <w:lang w:val="en-US" w:eastAsia="zh-CN"/>
        </w:rPr>
      </w:pPr>
      <w:r>
        <w:rPr>
          <w:rFonts w:hint="eastAsia" w:ascii="Times New Roman" w:hAnsi="Times New Roman" w:eastAsia="黑体" w:cs="Times New Roman"/>
          <w:snapToGrid w:val="0"/>
          <w:color w:val="000000"/>
          <w:spacing w:val="0"/>
          <w:sz w:val="32"/>
          <w:szCs w:val="32"/>
          <w:lang w:val="en-US" w:eastAsia="zh-CN"/>
        </w:rPr>
        <w:t>十、</w:t>
      </w:r>
      <w:r>
        <w:rPr>
          <w:rFonts w:hint="eastAsia" w:eastAsia="黑体"/>
          <w:snapToGrid w:val="0"/>
          <w:color w:val="000000"/>
          <w:spacing w:val="0"/>
          <w:sz w:val="32"/>
          <w:szCs w:val="32"/>
          <w:highlight w:val="none"/>
          <w:lang w:val="en-US" w:eastAsia="zh-CN"/>
        </w:rPr>
        <w:t>二氧化硫残留量</w:t>
      </w:r>
    </w:p>
    <w:p>
      <w:pPr>
        <w:pStyle w:val="13"/>
        <w:overflowPunct w:val="0"/>
        <w:autoSpaceDE/>
        <w:autoSpaceDN/>
        <w:snapToGrid w:val="0"/>
        <w:spacing w:line="594" w:lineRule="exact"/>
        <w:ind w:firstLine="640" w:firstLineChars="200"/>
        <w:jc w:val="both"/>
        <w:rPr>
          <w:rFonts w:hint="eastAsia" w:ascii="Times New Roman" w:hAnsi="Times New Roman" w:eastAsia="仿宋_GB2312" w:cs="仿宋_GB2312"/>
          <w:snapToGrid w:val="0"/>
          <w:color w:val="000000"/>
          <w:spacing w:val="0"/>
          <w:kern w:val="2"/>
          <w:sz w:val="32"/>
          <w:szCs w:val="32"/>
          <w:highlight w:val="none"/>
          <w:lang w:val="en-US" w:eastAsia="zh-CN"/>
        </w:rPr>
      </w:pPr>
      <w:r>
        <w:rPr>
          <w:rFonts w:hint="eastAsia" w:ascii="Times New Roman" w:hAnsi="Times New Roman" w:eastAsia="仿宋_GB2312" w:cs="仿宋_GB2312"/>
          <w:snapToGrid w:val="0"/>
          <w:color w:val="000000"/>
          <w:kern w:val="2"/>
          <w:sz w:val="32"/>
          <w:szCs w:val="32"/>
        </w:rPr>
        <w:t>二氧化硫是食品加工中常用的漂白剂和防腐剂，具有漂白、防腐和抗氧化作用。</w:t>
      </w:r>
      <w:r>
        <w:rPr>
          <w:rFonts w:hint="eastAsia" w:ascii="Times New Roman" w:hAnsi="Times New Roman" w:eastAsia="仿宋_GB2312" w:cs="仿宋_GB2312"/>
          <w:snapToGrid w:val="0"/>
          <w:color w:val="000000"/>
          <w:kern w:val="2"/>
          <w:sz w:val="32"/>
          <w:szCs w:val="32"/>
          <w:lang w:val="en-US" w:eastAsia="zh-CN"/>
        </w:rPr>
        <w:t>《食品安全国家标准 食品添加剂使用标准》（GB 2760—2024）</w:t>
      </w:r>
      <w:r>
        <w:rPr>
          <w:rFonts w:hint="eastAsia" w:ascii="Times New Roman" w:hAnsi="Times New Roman" w:eastAsia="仿宋_GB2312" w:cs="仿宋_GB2312"/>
          <w:snapToGrid w:val="0"/>
          <w:color w:val="000000"/>
          <w:kern w:val="2"/>
          <w:sz w:val="32"/>
          <w:szCs w:val="32"/>
        </w:rPr>
        <w:t>中规定，</w:t>
      </w:r>
      <w:r>
        <w:rPr>
          <w:rFonts w:hint="eastAsia" w:ascii="Times New Roman" w:hAnsi="Times New Roman" w:eastAsia="仿宋_GB2312" w:cs="仿宋_GB2312"/>
          <w:snapToGrid w:val="0"/>
          <w:color w:val="000000"/>
          <w:kern w:val="2"/>
          <w:sz w:val="32"/>
          <w:szCs w:val="32"/>
          <w:lang w:val="en-US" w:eastAsia="zh-CN"/>
        </w:rPr>
        <w:t>香辛料及粉（八角除外）中不得使用二氧化硫</w:t>
      </w:r>
      <w:r>
        <w:rPr>
          <w:rFonts w:hint="eastAsia" w:ascii="Times New Roman" w:cs="仿宋_GB2312"/>
          <w:snapToGrid w:val="0"/>
          <w:color w:val="000000"/>
          <w:kern w:val="2"/>
          <w:sz w:val="32"/>
          <w:szCs w:val="32"/>
          <w:lang w:val="en-US" w:eastAsia="zh-CN"/>
        </w:rPr>
        <w:t>，</w:t>
      </w:r>
      <w:r>
        <w:rPr>
          <w:rFonts w:hint="eastAsia" w:ascii="Times New Roman" w:hAnsi="Times New Roman" w:cs="仿宋_GB2312"/>
          <w:snapToGrid w:val="0"/>
          <w:color w:val="000000"/>
          <w:kern w:val="2"/>
          <w:sz w:val="32"/>
          <w:szCs w:val="32"/>
          <w:highlight w:val="none"/>
          <w:lang w:val="en-US" w:eastAsia="zh-CN"/>
        </w:rPr>
        <w:t>水果干类、</w:t>
      </w:r>
      <w:r>
        <w:rPr>
          <w:rFonts w:hint="eastAsia" w:ascii="Times New Roman" w:hAnsi="Times New Roman" w:eastAsia="仿宋_GB2312" w:cs="仿宋_GB2312"/>
          <w:snapToGrid w:val="0"/>
          <w:color w:val="000000"/>
          <w:spacing w:val="0"/>
          <w:kern w:val="2"/>
          <w:sz w:val="32"/>
          <w:szCs w:val="32"/>
          <w:highlight w:val="none"/>
          <w:lang w:val="en-US" w:eastAsia="zh-CN"/>
        </w:rPr>
        <w:t>腌渍的蔬菜</w:t>
      </w:r>
      <w:r>
        <w:rPr>
          <w:rFonts w:hint="eastAsia" w:ascii="Times New Roman" w:hAnsi="Times New Roman" w:eastAsia="仿宋_GB2312" w:cs="仿宋_GB2312"/>
          <w:snapToGrid w:val="0"/>
          <w:color w:val="000000"/>
          <w:kern w:val="2"/>
          <w:sz w:val="32"/>
          <w:szCs w:val="32"/>
          <w:highlight w:val="none"/>
        </w:rPr>
        <w:t>中二氧化硫（以二氧化硫残留量计）最大使用量为</w:t>
      </w:r>
      <w:r>
        <w:rPr>
          <w:rFonts w:hint="eastAsia" w:ascii="Times New Roman" w:hAnsi="Times New Roman" w:cs="仿宋_GB2312"/>
          <w:snapToGrid w:val="0"/>
          <w:color w:val="000000"/>
          <w:kern w:val="2"/>
          <w:sz w:val="32"/>
          <w:szCs w:val="32"/>
          <w:highlight w:val="none"/>
          <w:lang w:val="en-US" w:eastAsia="zh-CN"/>
        </w:rPr>
        <w:t>0.1</w:t>
      </w:r>
      <w:r>
        <w:rPr>
          <w:rFonts w:hint="eastAsia" w:ascii="Times New Roman" w:hAnsi="Times New Roman" w:eastAsia="仿宋_GB2312" w:cs="仿宋_GB2312"/>
          <w:snapToGrid w:val="0"/>
          <w:color w:val="000000"/>
          <w:kern w:val="2"/>
          <w:sz w:val="32"/>
          <w:szCs w:val="32"/>
          <w:highlight w:val="none"/>
        </w:rPr>
        <w:t>g/kg</w:t>
      </w:r>
      <w:r>
        <w:rPr>
          <w:rFonts w:hint="eastAsia" w:ascii="Times New Roman" w:hAnsi="Times New Roman" w:eastAsia="仿宋_GB2312" w:cs="仿宋_GB2312"/>
          <w:snapToGrid w:val="0"/>
          <w:color w:val="000000"/>
          <w:kern w:val="2"/>
          <w:sz w:val="32"/>
          <w:szCs w:val="32"/>
          <w:highlight w:val="none"/>
          <w:lang w:val="en-US" w:eastAsia="zh-CN"/>
        </w:rPr>
        <w:t>。</w:t>
      </w:r>
      <w:r>
        <w:rPr>
          <w:rFonts w:hint="eastAsia" w:ascii="Times New Roman" w:hAnsi="Times New Roman" w:eastAsia="仿宋_GB2312" w:cs="仿宋_GB2312"/>
          <w:snapToGrid w:val="0"/>
          <w:color w:val="000000"/>
          <w:kern w:val="2"/>
          <w:sz w:val="32"/>
          <w:szCs w:val="32"/>
          <w:lang w:val="en-US" w:eastAsia="zh-CN"/>
        </w:rPr>
        <w:t>香辛料及粉</w:t>
      </w:r>
      <w:r>
        <w:rPr>
          <w:rFonts w:hint="eastAsia" w:ascii="Times New Roman" w:cs="仿宋_GB2312"/>
          <w:snapToGrid w:val="0"/>
          <w:color w:val="000000"/>
          <w:kern w:val="2"/>
          <w:sz w:val="32"/>
          <w:szCs w:val="32"/>
          <w:lang w:val="en-US" w:eastAsia="zh-CN"/>
        </w:rPr>
        <w:t>、</w:t>
      </w:r>
      <w:r>
        <w:rPr>
          <w:rFonts w:hint="eastAsia" w:ascii="Times New Roman" w:hAnsi="Times New Roman" w:cs="仿宋_GB2312"/>
          <w:snapToGrid w:val="0"/>
          <w:color w:val="000000"/>
          <w:kern w:val="2"/>
          <w:sz w:val="32"/>
          <w:szCs w:val="32"/>
          <w:highlight w:val="none"/>
          <w:lang w:val="en-US" w:eastAsia="zh-CN"/>
        </w:rPr>
        <w:t>水果干类、</w:t>
      </w:r>
      <w:r>
        <w:rPr>
          <w:rFonts w:hint="eastAsia" w:ascii="Times New Roman" w:hAnsi="Times New Roman" w:eastAsia="仿宋_GB2312" w:cs="仿宋_GB2312"/>
          <w:snapToGrid w:val="0"/>
          <w:color w:val="000000"/>
          <w:spacing w:val="0"/>
          <w:kern w:val="2"/>
          <w:sz w:val="32"/>
          <w:szCs w:val="32"/>
          <w:highlight w:val="none"/>
          <w:lang w:val="en-US" w:eastAsia="zh-CN"/>
        </w:rPr>
        <w:t>腌渍的蔬菜</w:t>
      </w:r>
      <w:r>
        <w:rPr>
          <w:rFonts w:hint="eastAsia" w:ascii="Times New Roman" w:hAnsi="Times New Roman" w:eastAsia="仿宋_GB2312" w:cs="仿宋_GB2312"/>
          <w:snapToGrid w:val="0"/>
          <w:color w:val="000000"/>
          <w:kern w:val="2"/>
          <w:sz w:val="32"/>
          <w:szCs w:val="32"/>
          <w:lang w:val="en-US" w:eastAsia="zh-CN"/>
        </w:rPr>
        <w:t>中二氧化硫残留量超标的原因，可能是生产企业为改善产品色泽而超范围超限量使用二氧化硫；</w:t>
      </w:r>
      <w:r>
        <w:rPr>
          <w:rFonts w:hint="eastAsia" w:ascii="Times New Roman" w:hAnsi="Times New Roman" w:eastAsia="仿宋_GB2312" w:cs="仿宋_GB2312"/>
          <w:snapToGrid w:val="0"/>
          <w:color w:val="000000"/>
          <w:kern w:val="2"/>
          <w:sz w:val="32"/>
          <w:szCs w:val="32"/>
          <w:highlight w:val="none"/>
          <w:lang w:val="en-US" w:eastAsia="zh-CN" w:bidi="ar-SA"/>
        </w:rPr>
        <w:t>也可能是使用时不计量或计量不准确；还可能是由于使用硫磺熏蒸漂白传统工艺或直接使用亚硫酸盐浸泡保鲜所造成。</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94" w:lineRule="exact"/>
        <w:ind w:right="0" w:rightChars="0" w:firstLine="640" w:firstLineChars="200"/>
        <w:jc w:val="both"/>
        <w:textAlignment w:val="auto"/>
        <w:rPr>
          <w:rFonts w:hint="eastAsia" w:ascii="Times New Roman" w:hAnsi="Times New Roman" w:eastAsia="黑体" w:cs="Times New Roman"/>
          <w:snapToGrid w:val="0"/>
          <w:color w:val="000000"/>
          <w:sz w:val="32"/>
          <w:szCs w:val="32"/>
          <w:highlight w:val="none"/>
          <w:lang w:val="en-US" w:eastAsia="zh-CN"/>
        </w:rPr>
      </w:pPr>
      <w:r>
        <w:rPr>
          <w:rFonts w:hint="eastAsia" w:ascii="Times New Roman" w:hAnsi="Times New Roman" w:eastAsia="黑体" w:cs="Times New Roman"/>
          <w:snapToGrid w:val="0"/>
          <w:color w:val="000000"/>
          <w:sz w:val="32"/>
          <w:szCs w:val="32"/>
          <w:highlight w:val="none"/>
          <w:lang w:val="en-US" w:eastAsia="zh-CN"/>
        </w:rPr>
        <w:t>十一、防腐剂混合使用时各自用量占其最大使用量的比例之和</w:t>
      </w:r>
    </w:p>
    <w:p>
      <w:pPr>
        <w:widowControl w:val="0"/>
        <w:numPr>
          <w:ilvl w:val="0"/>
          <w:numId w:val="0"/>
        </w:numPr>
        <w:topLinePunct w:val="0"/>
        <w:adjustRightInd w:val="0"/>
        <w:snapToGrid w:val="0"/>
        <w:spacing w:line="594" w:lineRule="exact"/>
        <w:ind w:firstLine="640" w:firstLineChars="200"/>
        <w:rPr>
          <w:rFonts w:hint="eastAsia" w:ascii="Times New Roman" w:hAnsi="Times New Roman" w:eastAsia="仿宋_GB2312" w:cs="仿宋_GB2312"/>
          <w:snapToGrid w:val="0"/>
          <w:color w:val="000000"/>
          <w:spacing w:val="0"/>
          <w:sz w:val="32"/>
          <w:szCs w:val="32"/>
          <w:highlight w:val="none"/>
          <w:lang w:val="en-US" w:eastAsia="zh-CN"/>
        </w:rPr>
      </w:pPr>
      <w:r>
        <w:rPr>
          <w:rFonts w:hint="eastAsia" w:ascii="Times New Roman" w:hAnsi="Times New Roman" w:eastAsia="仿宋_GB2312" w:cs="仿宋_GB2312"/>
          <w:snapToGrid w:val="0"/>
          <w:color w:val="000000"/>
          <w:spacing w:val="0"/>
          <w:sz w:val="32"/>
          <w:szCs w:val="32"/>
          <w:highlight w:val="none"/>
        </w:rPr>
        <w:t>防腐剂是常见的食品添加剂，用于延缓或抑制由微生物引起的食品腐败变质。</w:t>
      </w:r>
      <w:r>
        <w:rPr>
          <w:rFonts w:hint="eastAsia" w:ascii="Times New Roman" w:hAnsi="Times New Roman" w:eastAsia="仿宋_GB2312" w:cs="仿宋_GB2312"/>
          <w:snapToGrid w:val="0"/>
          <w:color w:val="000000"/>
          <w:sz w:val="32"/>
          <w:szCs w:val="32"/>
          <w:highlight w:val="none"/>
          <w:shd w:val="clear" w:color="auto" w:fill="FFFFFF"/>
          <w:lang w:val="en-US" w:eastAsia="zh-CN"/>
        </w:rPr>
        <w:t>《食品安全国家标准 食品添加剂使用标准》（GB 2760—2024）</w:t>
      </w:r>
      <w:r>
        <w:rPr>
          <w:rFonts w:hint="eastAsia" w:ascii="Times New Roman" w:hAnsi="Times New Roman" w:eastAsia="仿宋_GB2312" w:cs="仿宋_GB2312"/>
          <w:snapToGrid w:val="0"/>
          <w:color w:val="000000"/>
          <w:spacing w:val="0"/>
          <w:sz w:val="32"/>
          <w:szCs w:val="32"/>
          <w:highlight w:val="none"/>
          <w:lang w:val="en-US" w:eastAsia="zh-CN"/>
        </w:rPr>
        <w:t>中规定，具有同一功能且具有数值型最大使用量的食品添加剂在混合使用时，</w:t>
      </w:r>
      <w:r>
        <w:rPr>
          <w:rFonts w:hint="eastAsia" w:ascii="Times New Roman" w:hAnsi="Times New Roman" w:eastAsia="仿宋_GB2312" w:cs="仿宋_GB2312"/>
          <w:snapToGrid w:val="0"/>
          <w:color w:val="000000"/>
          <w:sz w:val="32"/>
          <w:szCs w:val="32"/>
          <w:highlight w:val="none"/>
        </w:rPr>
        <w:t>各自用量占其最大使用量的比例之和不应超过1</w:t>
      </w:r>
      <w:r>
        <w:rPr>
          <w:rFonts w:hint="eastAsia" w:ascii="Times New Roman" w:hAnsi="Times New Roman" w:eastAsia="仿宋_GB2312" w:cs="仿宋_GB2312"/>
          <w:snapToGrid w:val="0"/>
          <w:color w:val="000000"/>
          <w:spacing w:val="0"/>
          <w:sz w:val="32"/>
          <w:szCs w:val="32"/>
          <w:highlight w:val="none"/>
        </w:rPr>
        <w:t>。</w:t>
      </w:r>
      <w:r>
        <w:rPr>
          <w:rFonts w:hint="eastAsia" w:ascii="Times New Roman" w:hAnsi="Times New Roman" w:eastAsia="仿宋_GB2312" w:cs="仿宋_GB2312"/>
          <w:snapToGrid w:val="0"/>
          <w:color w:val="000000"/>
          <w:spacing w:val="0"/>
          <w:sz w:val="32"/>
          <w:szCs w:val="32"/>
          <w:highlight w:val="none"/>
          <w:lang w:val="en-US" w:eastAsia="zh-CN"/>
        </w:rPr>
        <w:t>糕点、面包、</w:t>
      </w:r>
      <w:r>
        <w:rPr>
          <w:rFonts w:hint="eastAsia" w:ascii="Times New Roman" w:hAnsi="Times New Roman" w:eastAsia="仿宋_GB2312" w:cs="仿宋_GB2312"/>
          <w:snapToGrid w:val="0"/>
          <w:color w:val="000000"/>
          <w:kern w:val="2"/>
          <w:sz w:val="32"/>
          <w:szCs w:val="32"/>
          <w:highlight w:val="none"/>
          <w:lang w:val="en-US" w:eastAsia="zh-CN" w:bidi="ar-SA"/>
        </w:rPr>
        <w:t>腌渍</w:t>
      </w:r>
      <w:r>
        <w:rPr>
          <w:rFonts w:hint="eastAsia" w:ascii="Times New Roman" w:hAnsi="Times New Roman" w:eastAsia="仿宋_GB2312" w:cs="仿宋_GB2312"/>
          <w:snapToGrid w:val="0"/>
          <w:color w:val="000000"/>
          <w:spacing w:val="0"/>
          <w:sz w:val="32"/>
          <w:szCs w:val="32"/>
          <w:highlight w:val="none"/>
          <w:lang w:val="en-US" w:eastAsia="zh-CN"/>
        </w:rPr>
        <w:t>的蔬菜</w:t>
      </w:r>
      <w:r>
        <w:rPr>
          <w:rFonts w:hint="eastAsia" w:ascii="Times New Roman" w:hAnsi="Times New Roman" w:eastAsia="仿宋_GB2312" w:cs="仿宋_GB2312"/>
          <w:snapToGrid w:val="0"/>
          <w:color w:val="000000"/>
          <w:spacing w:val="0"/>
          <w:sz w:val="32"/>
          <w:szCs w:val="32"/>
          <w:highlight w:val="none"/>
        </w:rPr>
        <w:t>中防腐剂混合使用时各自用量占其最大使用量的比例之和</w:t>
      </w:r>
      <w:r>
        <w:rPr>
          <w:rFonts w:hint="eastAsia" w:ascii="Times New Roman" w:hAnsi="Times New Roman" w:eastAsia="仿宋_GB2312" w:cs="仿宋_GB2312"/>
          <w:snapToGrid w:val="0"/>
          <w:color w:val="000000"/>
          <w:spacing w:val="0"/>
          <w:sz w:val="32"/>
          <w:szCs w:val="32"/>
          <w:highlight w:val="none"/>
          <w:lang w:val="en-US" w:eastAsia="zh-CN"/>
        </w:rPr>
        <w:t>超标</w:t>
      </w:r>
      <w:r>
        <w:rPr>
          <w:rFonts w:hint="eastAsia" w:ascii="Times New Roman" w:hAnsi="Times New Roman" w:eastAsia="仿宋_GB2312" w:cs="仿宋_GB2312"/>
          <w:snapToGrid w:val="0"/>
          <w:color w:val="000000"/>
          <w:spacing w:val="0"/>
          <w:sz w:val="32"/>
          <w:szCs w:val="32"/>
          <w:highlight w:val="none"/>
        </w:rPr>
        <w:t>的原因，可能是生产企业在生产加工过程中未严格控制各防腐剂的用量。</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94" w:lineRule="exact"/>
        <w:ind w:firstLine="640" w:firstLineChars="200"/>
        <w:textAlignment w:val="auto"/>
        <w:rPr>
          <w:rFonts w:hint="default" w:ascii="Times New Roman" w:hAnsi="Times New Roman" w:eastAsia="黑体" w:cs="Times New Roman"/>
          <w:snapToGrid w:val="0"/>
          <w:color w:val="000000"/>
          <w:spacing w:val="0"/>
          <w:sz w:val="32"/>
          <w:szCs w:val="32"/>
        </w:rPr>
      </w:pPr>
      <w:r>
        <w:rPr>
          <w:rFonts w:hint="eastAsia" w:ascii="Times New Roman" w:hAnsi="Times New Roman" w:eastAsia="黑体" w:cs="Times New Roman"/>
          <w:snapToGrid w:val="0"/>
          <w:color w:val="000000"/>
          <w:spacing w:val="0"/>
          <w:sz w:val="32"/>
          <w:szCs w:val="32"/>
          <w:lang w:val="en-US" w:eastAsia="zh-CN"/>
        </w:rPr>
        <w:t>十二、</w:t>
      </w:r>
      <w:r>
        <w:rPr>
          <w:rFonts w:hint="default" w:ascii="Times New Roman" w:hAnsi="Times New Roman" w:eastAsia="黑体" w:cs="Times New Roman"/>
          <w:snapToGrid w:val="0"/>
          <w:color w:val="000000"/>
          <w:spacing w:val="0"/>
          <w:sz w:val="32"/>
          <w:szCs w:val="32"/>
        </w:rPr>
        <w:t>脱氢乙酸及其钠盐</w:t>
      </w:r>
      <w:r>
        <w:rPr>
          <w:rFonts w:hint="eastAsia" w:ascii="Times New Roman" w:hAnsi="Times New Roman" w:eastAsia="黑体" w:cs="Times New Roman"/>
          <w:snapToGrid w:val="0"/>
          <w:color w:val="000000"/>
          <w:spacing w:val="0"/>
          <w:sz w:val="32"/>
          <w:szCs w:val="32"/>
          <w:lang w:eastAsia="zh-CN"/>
        </w:rPr>
        <w:t>（</w:t>
      </w:r>
      <w:r>
        <w:rPr>
          <w:rFonts w:hint="default" w:ascii="Times New Roman" w:hAnsi="Times New Roman" w:eastAsia="黑体" w:cs="Times New Roman"/>
          <w:snapToGrid w:val="0"/>
          <w:color w:val="000000"/>
          <w:spacing w:val="0"/>
          <w:sz w:val="32"/>
          <w:szCs w:val="32"/>
        </w:rPr>
        <w:t>以脱氢乙酸计</w:t>
      </w:r>
      <w:r>
        <w:rPr>
          <w:rFonts w:hint="eastAsia" w:ascii="Times New Roman" w:hAnsi="Times New Roman" w:eastAsia="黑体" w:cs="Times New Roman"/>
          <w:snapToGrid w:val="0"/>
          <w:color w:val="000000"/>
          <w:spacing w:val="0"/>
          <w:sz w:val="32"/>
          <w:szCs w:val="32"/>
          <w:lang w:eastAsia="zh-CN"/>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614" w:lineRule="exact"/>
        <w:ind w:firstLine="640" w:firstLineChars="200"/>
        <w:textAlignment w:val="auto"/>
        <w:rPr>
          <w:rFonts w:hint="eastAsia" w:ascii="Times New Roman" w:hAnsi="Times New Roman" w:eastAsia="仿宋_GB2312" w:cs="仿宋_GB2312"/>
          <w:snapToGrid w:val="0"/>
          <w:color w:val="000000"/>
          <w:sz w:val="32"/>
          <w:szCs w:val="32"/>
          <w:highlight w:val="none"/>
          <w:lang w:val="en-US" w:eastAsia="zh-CN"/>
        </w:rPr>
      </w:pPr>
      <w:r>
        <w:rPr>
          <w:rFonts w:hint="eastAsia" w:ascii="Times New Roman" w:hAnsi="Times New Roman" w:eastAsia="仿宋_GB2312" w:cs="仿宋_GB2312"/>
          <w:snapToGrid w:val="0"/>
          <w:color w:val="000000"/>
          <w:sz w:val="32"/>
          <w:szCs w:val="32"/>
          <w:lang w:val="en-US" w:eastAsia="zh-CN"/>
        </w:rPr>
        <w:t>脱氢乙酸及其钠盐作为一种广谱食品防腐剂，对霉菌和酵母菌的抑制能力强。</w:t>
      </w:r>
      <w:r>
        <w:rPr>
          <w:rFonts w:hint="eastAsia" w:ascii="Times New Roman" w:hAnsi="Times New Roman" w:eastAsia="仿宋_GB2312" w:cs="仿宋_GB2312"/>
          <w:snapToGrid w:val="0"/>
          <w:color w:val="000000"/>
          <w:sz w:val="32"/>
          <w:szCs w:val="32"/>
          <w:shd w:val="clear" w:color="auto" w:fill="FFFFFF"/>
          <w:lang w:val="en-US" w:eastAsia="zh-CN"/>
        </w:rPr>
        <w:t>《食品安全国家标准 食品添加剂使用标准》（GB 2760—2024）中规定</w:t>
      </w:r>
      <w:r>
        <w:rPr>
          <w:rFonts w:hint="eastAsia" w:ascii="Times New Roman" w:hAnsi="Times New Roman" w:eastAsia="仿宋_GB2312" w:cs="仿宋_GB2312"/>
          <w:snapToGrid w:val="0"/>
          <w:color w:val="000000"/>
          <w:sz w:val="32"/>
          <w:szCs w:val="32"/>
          <w:lang w:val="en-US" w:eastAsia="zh-CN"/>
        </w:rPr>
        <w:t>，</w:t>
      </w:r>
      <w:r>
        <w:rPr>
          <w:rFonts w:hint="eastAsia" w:eastAsia="仿宋_GB2312" w:cs="仿宋_GB2312"/>
          <w:snapToGrid w:val="0"/>
          <w:color w:val="000000"/>
          <w:kern w:val="2"/>
          <w:sz w:val="32"/>
          <w:szCs w:val="32"/>
          <w:highlight w:val="none"/>
          <w:lang w:val="en-US" w:eastAsia="zh-CN" w:bidi="ar-SA"/>
        </w:rPr>
        <w:t>月饼中</w:t>
      </w:r>
      <w:r>
        <w:rPr>
          <w:rFonts w:hint="eastAsia" w:ascii="Times New Roman" w:hAnsi="Times New Roman" w:eastAsia="仿宋_GB2312" w:cs="仿宋_GB2312"/>
          <w:snapToGrid w:val="0"/>
          <w:color w:val="000000"/>
          <w:sz w:val="32"/>
          <w:szCs w:val="32"/>
          <w:lang w:val="en-US" w:eastAsia="zh-CN"/>
        </w:rPr>
        <w:t>不得使用脱氢乙酸及其钠盐（以脱氢乙酸计）。月饼中检出脱氢乙酸及其钠盐（以脱氢乙酸计）的原因，</w:t>
      </w:r>
      <w:r>
        <w:rPr>
          <w:rFonts w:hint="eastAsia" w:ascii="Times New Roman" w:hAnsi="Times New Roman" w:eastAsia="仿宋_GB2312" w:cs="仿宋_GB2312"/>
          <w:snapToGrid w:val="0"/>
          <w:color w:val="000000"/>
          <w:spacing w:val="0"/>
          <w:sz w:val="32"/>
          <w:szCs w:val="32"/>
        </w:rPr>
        <w:t>可能是生产经营企业为延长产品保质期或者弥补产品生产过程卫生条件不佳而</w:t>
      </w:r>
      <w:r>
        <w:rPr>
          <w:rFonts w:hint="eastAsia" w:ascii="Times New Roman" w:hAnsi="Times New Roman" w:eastAsia="仿宋_GB2312" w:cs="仿宋_GB2312"/>
          <w:snapToGrid w:val="0"/>
          <w:color w:val="000000"/>
          <w:spacing w:val="0"/>
          <w:sz w:val="32"/>
          <w:szCs w:val="32"/>
          <w:lang w:val="en-US" w:eastAsia="zh-CN"/>
        </w:rPr>
        <w:t>超范围</w:t>
      </w:r>
      <w:r>
        <w:rPr>
          <w:rFonts w:hint="eastAsia" w:ascii="Times New Roman" w:hAnsi="Times New Roman" w:eastAsia="仿宋_GB2312" w:cs="仿宋_GB2312"/>
          <w:snapToGrid w:val="0"/>
          <w:color w:val="000000"/>
          <w:spacing w:val="0"/>
          <w:sz w:val="32"/>
          <w:szCs w:val="32"/>
        </w:rPr>
        <w:t>使用</w:t>
      </w:r>
      <w:r>
        <w:rPr>
          <w:rFonts w:hint="eastAsia" w:ascii="Times New Roman" w:hAnsi="Times New Roman" w:eastAsia="仿宋_GB2312" w:cs="仿宋_GB2312"/>
          <w:snapToGrid w:val="0"/>
          <w:color w:val="000000"/>
          <w:spacing w:val="0"/>
          <w:sz w:val="32"/>
          <w:szCs w:val="32"/>
          <w:lang w:val="en-US" w:eastAsia="zh-CN"/>
        </w:rPr>
        <w:t>；</w:t>
      </w:r>
      <w:r>
        <w:rPr>
          <w:rFonts w:hint="eastAsia" w:ascii="Times New Roman" w:hAnsi="Times New Roman" w:eastAsia="仿宋_GB2312" w:cs="仿宋_GB2312"/>
          <w:snapToGrid w:val="0"/>
          <w:color w:val="000000"/>
          <w:sz w:val="32"/>
          <w:szCs w:val="32"/>
          <w:lang w:val="en-US" w:eastAsia="zh-CN"/>
        </w:rPr>
        <w:t>也可能是其使用的复配添加剂中含有该添加剂</w:t>
      </w:r>
      <w:r>
        <w:rPr>
          <w:rFonts w:hint="eastAsia" w:ascii="Times New Roman" w:hAnsi="Times New Roman" w:eastAsia="仿宋_GB2312" w:cs="仿宋_GB2312"/>
          <w:snapToGrid w:val="0"/>
          <w:color w:val="000000"/>
          <w:kern w:val="2"/>
          <w:sz w:val="32"/>
          <w:szCs w:val="32"/>
          <w:highlight w:val="none"/>
          <w:lang w:val="en-US" w:eastAsia="zh-CN" w:bidi="ar-SA"/>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614" w:lineRule="exact"/>
        <w:ind w:firstLine="640" w:firstLineChars="200"/>
        <w:textAlignment w:val="auto"/>
        <w:rPr>
          <w:rFonts w:hint="default" w:ascii="Times New Roman" w:hAnsi="Times New Roman" w:eastAsia="黑体" w:cs="黑体"/>
          <w:snapToGrid w:val="0"/>
          <w:color w:val="000000"/>
          <w:sz w:val="32"/>
          <w:szCs w:val="32"/>
          <w:highlight w:val="none"/>
          <w:lang w:val="en-US" w:eastAsia="zh-CN"/>
        </w:rPr>
      </w:pPr>
      <w:r>
        <w:rPr>
          <w:rFonts w:hint="eastAsia" w:ascii="Times New Roman" w:hAnsi="Times New Roman" w:eastAsia="黑体" w:cs="Times New Roman"/>
          <w:snapToGrid w:val="0"/>
          <w:color w:val="000000"/>
          <w:sz w:val="32"/>
          <w:szCs w:val="32"/>
          <w:highlight w:val="none"/>
          <w:lang w:val="en-US" w:eastAsia="zh-CN"/>
        </w:rPr>
        <w:t>十三、</w:t>
      </w:r>
      <w:r>
        <w:rPr>
          <w:rFonts w:hint="eastAsia" w:ascii="Times New Roman" w:hAnsi="Times New Roman" w:eastAsia="黑体" w:cs="黑体"/>
          <w:snapToGrid w:val="0"/>
          <w:color w:val="000000"/>
          <w:sz w:val="32"/>
          <w:szCs w:val="32"/>
          <w:highlight w:val="none"/>
          <w:lang w:val="en-US" w:eastAsia="zh-CN"/>
        </w:rPr>
        <w:t>胭脂红</w:t>
      </w:r>
    </w:p>
    <w:p>
      <w:pPr>
        <w:widowControl w:val="0"/>
        <w:numPr>
          <w:ilvl w:val="0"/>
          <w:numId w:val="0"/>
        </w:numPr>
        <w:topLinePunct w:val="0"/>
        <w:adjustRightInd w:val="0"/>
        <w:snapToGrid w:val="0"/>
        <w:spacing w:line="614" w:lineRule="exact"/>
        <w:ind w:firstLine="640" w:firstLineChars="200"/>
        <w:rPr>
          <w:rFonts w:hint="eastAsia" w:ascii="Times New Roman" w:hAnsi="Times New Roman" w:eastAsia="仿宋_GB2312" w:cs="仿宋_GB2312"/>
          <w:snapToGrid w:val="0"/>
          <w:color w:val="000000"/>
          <w:sz w:val="32"/>
          <w:szCs w:val="32"/>
          <w:highlight w:val="none"/>
        </w:rPr>
      </w:pPr>
      <w:r>
        <w:rPr>
          <w:rFonts w:hint="eastAsia" w:ascii="Times New Roman" w:hAnsi="Times New Roman" w:eastAsia="仿宋_GB2312" w:cs="仿宋_GB2312"/>
          <w:snapToGrid w:val="0"/>
          <w:color w:val="000000"/>
          <w:sz w:val="32"/>
          <w:szCs w:val="32"/>
          <w:highlight w:val="none"/>
        </w:rPr>
        <w:t>胭脂红，是常见的人工合成着色剂，在现代食品业中应用广泛。相比于天然色素，具有着色力强、性质稳定等特点。</w:t>
      </w:r>
      <w:r>
        <w:rPr>
          <w:rFonts w:hint="eastAsia" w:ascii="Times New Roman" w:hAnsi="Times New Roman" w:eastAsia="仿宋_GB2312" w:cs="仿宋_GB2312"/>
          <w:snapToGrid w:val="0"/>
          <w:color w:val="000000"/>
          <w:spacing w:val="0"/>
          <w:sz w:val="32"/>
          <w:szCs w:val="32"/>
          <w:highlight w:val="none"/>
        </w:rPr>
        <w:t>《</w:t>
      </w:r>
      <w:r>
        <w:rPr>
          <w:rFonts w:hint="eastAsia" w:ascii="Times New Roman" w:hAnsi="Times New Roman" w:eastAsia="仿宋_GB2312" w:cs="仿宋_GB2312"/>
          <w:snapToGrid w:val="0"/>
          <w:color w:val="000000"/>
          <w:sz w:val="32"/>
          <w:szCs w:val="32"/>
          <w:highlight w:val="none"/>
        </w:rPr>
        <w:t xml:space="preserve">食品安全国家标准 </w:t>
      </w:r>
      <w:r>
        <w:rPr>
          <w:rFonts w:hint="eastAsia" w:ascii="Times New Roman" w:hAnsi="Times New Roman" w:eastAsia="仿宋_GB2312" w:cs="仿宋_GB2312"/>
          <w:snapToGrid w:val="0"/>
          <w:color w:val="000000"/>
          <w:sz w:val="32"/>
          <w:szCs w:val="32"/>
          <w:highlight w:val="none"/>
          <w:lang w:val="en-US" w:eastAsia="zh-CN"/>
        </w:rPr>
        <w:t>食品添加剂使用标准</w:t>
      </w:r>
      <w:r>
        <w:rPr>
          <w:rFonts w:hint="eastAsia" w:ascii="Times New Roman" w:hAnsi="Times New Roman" w:eastAsia="仿宋_GB2312" w:cs="仿宋_GB2312"/>
          <w:snapToGrid w:val="0"/>
          <w:color w:val="000000"/>
          <w:spacing w:val="0"/>
          <w:sz w:val="32"/>
          <w:szCs w:val="32"/>
          <w:highlight w:val="none"/>
        </w:rPr>
        <w:t xml:space="preserve">》（GB </w:t>
      </w:r>
      <w:r>
        <w:rPr>
          <w:rFonts w:hint="eastAsia" w:ascii="Times New Roman" w:hAnsi="Times New Roman" w:eastAsia="仿宋_GB2312" w:cs="仿宋_GB2312"/>
          <w:snapToGrid w:val="0"/>
          <w:color w:val="000000"/>
          <w:spacing w:val="0"/>
          <w:sz w:val="32"/>
          <w:szCs w:val="32"/>
          <w:highlight w:val="none"/>
          <w:lang w:val="en-US" w:eastAsia="zh-CN"/>
        </w:rPr>
        <w:t>2760</w:t>
      </w:r>
      <w:r>
        <w:rPr>
          <w:rFonts w:hint="eastAsia" w:eastAsia="仿宋_GB2312" w:cs="仿宋_GB2312"/>
          <w:snapToGrid w:val="0"/>
          <w:color w:val="000000"/>
          <w:kern w:val="2"/>
          <w:sz w:val="32"/>
          <w:szCs w:val="32"/>
          <w:highlight w:val="none"/>
        </w:rPr>
        <w:t>—</w:t>
      </w:r>
      <w:r>
        <w:rPr>
          <w:rFonts w:hint="eastAsia" w:ascii="Times New Roman" w:hAnsi="Times New Roman" w:eastAsia="仿宋_GB2312" w:cs="仿宋_GB2312"/>
          <w:snapToGrid w:val="0"/>
          <w:color w:val="000000"/>
          <w:spacing w:val="0"/>
          <w:sz w:val="32"/>
          <w:szCs w:val="32"/>
          <w:highlight w:val="none"/>
        </w:rPr>
        <w:t>20</w:t>
      </w:r>
      <w:r>
        <w:rPr>
          <w:rFonts w:hint="eastAsia" w:ascii="Times New Roman" w:hAnsi="Times New Roman" w:eastAsia="仿宋_GB2312" w:cs="仿宋_GB2312"/>
          <w:snapToGrid w:val="0"/>
          <w:color w:val="000000"/>
          <w:spacing w:val="0"/>
          <w:sz w:val="32"/>
          <w:szCs w:val="32"/>
          <w:highlight w:val="none"/>
          <w:lang w:val="en-US" w:eastAsia="zh-CN"/>
        </w:rPr>
        <w:t>24</w:t>
      </w:r>
      <w:r>
        <w:rPr>
          <w:rFonts w:hint="eastAsia" w:ascii="Times New Roman" w:hAnsi="Times New Roman" w:eastAsia="仿宋_GB2312" w:cs="仿宋_GB2312"/>
          <w:snapToGrid w:val="0"/>
          <w:color w:val="000000"/>
          <w:spacing w:val="0"/>
          <w:sz w:val="32"/>
          <w:szCs w:val="32"/>
          <w:highlight w:val="none"/>
        </w:rPr>
        <w:t>）中规定，</w:t>
      </w:r>
      <w:r>
        <w:rPr>
          <w:rFonts w:hint="eastAsia" w:ascii="Times New Roman" w:hAnsi="Times New Roman" w:eastAsia="仿宋_GB2312" w:cs="仿宋_GB2312"/>
          <w:snapToGrid w:val="0"/>
          <w:color w:val="000000"/>
          <w:spacing w:val="0"/>
          <w:sz w:val="32"/>
          <w:szCs w:val="32"/>
          <w:highlight w:val="none"/>
          <w:lang w:val="en-US" w:eastAsia="zh-CN"/>
        </w:rPr>
        <w:t>冷冻米面制品</w:t>
      </w:r>
      <w:r>
        <w:rPr>
          <w:rFonts w:hint="eastAsia" w:ascii="Times New Roman" w:hAnsi="Times New Roman" w:eastAsia="仿宋_GB2312" w:cs="仿宋_GB2312"/>
          <w:snapToGrid w:val="0"/>
          <w:color w:val="000000"/>
          <w:sz w:val="32"/>
          <w:szCs w:val="32"/>
          <w:highlight w:val="none"/>
        </w:rPr>
        <w:t>中不得使用胭脂红。</w:t>
      </w:r>
      <w:r>
        <w:rPr>
          <w:rFonts w:hint="eastAsia" w:ascii="Times New Roman" w:hAnsi="Times New Roman" w:eastAsia="仿宋_GB2312" w:cs="仿宋_GB2312"/>
          <w:snapToGrid w:val="0"/>
          <w:color w:val="000000"/>
          <w:spacing w:val="0"/>
          <w:sz w:val="32"/>
          <w:szCs w:val="32"/>
          <w:highlight w:val="none"/>
          <w:lang w:val="en-US" w:eastAsia="zh-CN"/>
        </w:rPr>
        <w:t>冷冻米面制品</w:t>
      </w:r>
      <w:r>
        <w:rPr>
          <w:rFonts w:hint="eastAsia" w:ascii="Times New Roman" w:hAnsi="Times New Roman" w:eastAsia="仿宋_GB2312" w:cs="仿宋_GB2312"/>
          <w:snapToGrid w:val="0"/>
          <w:color w:val="000000"/>
          <w:sz w:val="32"/>
          <w:szCs w:val="32"/>
          <w:highlight w:val="none"/>
        </w:rPr>
        <w:t>中</w:t>
      </w:r>
      <w:r>
        <w:rPr>
          <w:rFonts w:hint="eastAsia" w:ascii="Times New Roman" w:hAnsi="Times New Roman" w:eastAsia="仿宋_GB2312" w:cs="仿宋_GB2312"/>
          <w:snapToGrid w:val="0"/>
          <w:color w:val="000000"/>
          <w:sz w:val="32"/>
          <w:szCs w:val="32"/>
          <w:highlight w:val="none"/>
          <w:lang w:val="en-US" w:eastAsia="zh-CN"/>
        </w:rPr>
        <w:t>检出</w:t>
      </w:r>
      <w:r>
        <w:rPr>
          <w:rFonts w:hint="eastAsia" w:ascii="Times New Roman" w:hAnsi="Times New Roman" w:eastAsia="仿宋_GB2312" w:cs="仿宋_GB2312"/>
          <w:snapToGrid w:val="0"/>
          <w:color w:val="000000"/>
          <w:sz w:val="32"/>
          <w:szCs w:val="32"/>
          <w:highlight w:val="none"/>
        </w:rPr>
        <w:t>胭脂红的原因，可能是企业为改善产品色泽在生产加工过程中超范围使用食品添加剂。</w:t>
      </w:r>
    </w:p>
    <w:p>
      <w:pPr>
        <w:pStyle w:val="2"/>
        <w:keepNext w:val="0"/>
        <w:keepLines w:val="0"/>
        <w:pageBreakBefore w:val="0"/>
        <w:widowControl w:val="0"/>
        <w:numPr>
          <w:ilvl w:val="0"/>
          <w:numId w:val="0"/>
        </w:numPr>
        <w:kinsoku/>
        <w:wordWrap/>
        <w:overflowPunct w:val="0"/>
        <w:topLinePunct w:val="0"/>
        <w:autoSpaceDN/>
        <w:bidi w:val="0"/>
        <w:adjustRightInd w:val="0"/>
        <w:snapToGrid w:val="0"/>
        <w:spacing w:after="0" w:line="614" w:lineRule="exact"/>
        <w:ind w:left="0" w:leftChars="0" w:firstLine="640" w:firstLineChars="200"/>
        <w:textAlignment w:val="auto"/>
        <w:rPr>
          <w:rFonts w:hint="eastAsia" w:ascii="Times New Roman" w:hAnsi="Times New Roman" w:eastAsia="黑体" w:cs="黑体"/>
          <w:snapToGrid w:val="0"/>
          <w:color w:val="000000"/>
          <w:szCs w:val="32"/>
          <w:highlight w:val="none"/>
          <w:lang w:eastAsia="zh-CN"/>
        </w:rPr>
      </w:pPr>
      <w:r>
        <w:rPr>
          <w:rFonts w:hint="eastAsia" w:ascii="Times New Roman" w:hAnsi="Times New Roman" w:eastAsia="黑体" w:cs="黑体"/>
          <w:snapToGrid w:val="0"/>
          <w:color w:val="000000"/>
          <w:szCs w:val="32"/>
          <w:highlight w:val="none"/>
          <w:lang w:val="en-US" w:eastAsia="zh-CN"/>
        </w:rPr>
        <w:t>十四、纳他霉素</w:t>
      </w:r>
    </w:p>
    <w:p>
      <w:pPr>
        <w:pStyle w:val="2"/>
        <w:widowControl w:val="0"/>
        <w:topLinePunct w:val="0"/>
        <w:adjustRightInd w:val="0"/>
        <w:snapToGrid w:val="0"/>
        <w:spacing w:after="0" w:line="614" w:lineRule="exact"/>
        <w:ind w:left="0" w:leftChars="0" w:firstLine="640" w:firstLineChars="200"/>
        <w:rPr>
          <w:rFonts w:hint="eastAsia" w:ascii="Times New Roman" w:hAnsi="Times New Roman" w:eastAsia="仿宋_GB2312" w:cs="仿宋_GB2312"/>
          <w:snapToGrid w:val="0"/>
          <w:color w:val="000000"/>
          <w:sz w:val="32"/>
          <w:szCs w:val="32"/>
          <w:highlight w:val="none"/>
          <w:lang w:val="en-US" w:eastAsia="zh-CN"/>
        </w:rPr>
      </w:pPr>
      <w:r>
        <w:rPr>
          <w:rFonts w:hint="eastAsia" w:ascii="Times New Roman" w:hAnsi="Times New Roman" w:eastAsia="仿宋_GB2312" w:cs="仿宋_GB2312"/>
          <w:snapToGrid w:val="0"/>
          <w:color w:val="000000"/>
          <w:sz w:val="32"/>
          <w:szCs w:val="32"/>
          <w:highlight w:val="none"/>
        </w:rPr>
        <w:t>纳他霉素是一种由链霉菌发酵产生的天然抗真菌化合物，属于多烯大环内酯类，是一种食品防腐剂。如果食用过量，纳他霉素可中和抗体，损害健康。</w:t>
      </w:r>
      <w:r>
        <w:rPr>
          <w:rFonts w:hint="eastAsia" w:ascii="Times New Roman" w:hAnsi="Times New Roman" w:eastAsia="仿宋_GB2312" w:cs="仿宋_GB2312"/>
          <w:snapToGrid w:val="0"/>
          <w:color w:val="000000"/>
          <w:spacing w:val="0"/>
          <w:sz w:val="32"/>
          <w:szCs w:val="32"/>
        </w:rPr>
        <w:t>《</w:t>
      </w:r>
      <w:r>
        <w:rPr>
          <w:rFonts w:hint="eastAsia" w:ascii="Times New Roman" w:hAnsi="Times New Roman" w:eastAsia="仿宋_GB2312" w:cs="仿宋_GB2312"/>
          <w:snapToGrid w:val="0"/>
          <w:color w:val="000000"/>
          <w:sz w:val="32"/>
          <w:szCs w:val="32"/>
        </w:rPr>
        <w:t xml:space="preserve">食品安全国家标准 </w:t>
      </w:r>
      <w:r>
        <w:rPr>
          <w:rFonts w:hint="eastAsia" w:ascii="Times New Roman" w:hAnsi="Times New Roman" w:eastAsia="仿宋_GB2312" w:cs="仿宋_GB2312"/>
          <w:snapToGrid w:val="0"/>
          <w:color w:val="000000"/>
          <w:sz w:val="32"/>
          <w:szCs w:val="32"/>
          <w:lang w:val="en-US" w:eastAsia="zh-CN"/>
        </w:rPr>
        <w:t>食品添加剂使用标准</w:t>
      </w:r>
      <w:r>
        <w:rPr>
          <w:rFonts w:hint="eastAsia" w:ascii="Times New Roman" w:hAnsi="Times New Roman" w:eastAsia="仿宋_GB2312" w:cs="仿宋_GB2312"/>
          <w:snapToGrid w:val="0"/>
          <w:color w:val="000000"/>
          <w:spacing w:val="0"/>
          <w:sz w:val="32"/>
          <w:szCs w:val="32"/>
        </w:rPr>
        <w:t xml:space="preserve">》（GB </w:t>
      </w:r>
      <w:r>
        <w:rPr>
          <w:rFonts w:hint="eastAsia" w:ascii="Times New Roman" w:hAnsi="Times New Roman" w:eastAsia="仿宋_GB2312" w:cs="仿宋_GB2312"/>
          <w:snapToGrid w:val="0"/>
          <w:color w:val="000000"/>
          <w:spacing w:val="0"/>
          <w:sz w:val="32"/>
          <w:szCs w:val="32"/>
          <w:lang w:val="en-US" w:eastAsia="zh-CN"/>
        </w:rPr>
        <w:t>2760</w:t>
      </w:r>
      <w:r>
        <w:rPr>
          <w:rFonts w:hint="eastAsia" w:eastAsia="仿宋_GB2312" w:cs="仿宋_GB2312"/>
          <w:snapToGrid w:val="0"/>
          <w:color w:val="000000"/>
          <w:kern w:val="2"/>
          <w:sz w:val="32"/>
          <w:szCs w:val="32"/>
        </w:rPr>
        <w:t>—</w:t>
      </w:r>
      <w:r>
        <w:rPr>
          <w:rFonts w:hint="eastAsia" w:ascii="Times New Roman" w:hAnsi="Times New Roman" w:eastAsia="仿宋_GB2312" w:cs="仿宋_GB2312"/>
          <w:snapToGrid w:val="0"/>
          <w:color w:val="000000"/>
          <w:spacing w:val="0"/>
          <w:sz w:val="32"/>
          <w:szCs w:val="32"/>
        </w:rPr>
        <w:t>20</w:t>
      </w:r>
      <w:r>
        <w:rPr>
          <w:rFonts w:hint="eastAsia" w:ascii="Times New Roman" w:hAnsi="Times New Roman" w:eastAsia="仿宋_GB2312" w:cs="仿宋_GB2312"/>
          <w:snapToGrid w:val="0"/>
          <w:color w:val="000000"/>
          <w:spacing w:val="0"/>
          <w:sz w:val="32"/>
          <w:szCs w:val="32"/>
          <w:lang w:val="en-US" w:eastAsia="zh-CN"/>
        </w:rPr>
        <w:t>24</w:t>
      </w:r>
      <w:r>
        <w:rPr>
          <w:rFonts w:hint="eastAsia" w:ascii="Times New Roman" w:hAnsi="Times New Roman" w:eastAsia="仿宋_GB2312" w:cs="仿宋_GB2312"/>
          <w:snapToGrid w:val="0"/>
          <w:color w:val="000000"/>
          <w:spacing w:val="0"/>
          <w:sz w:val="32"/>
          <w:szCs w:val="32"/>
        </w:rPr>
        <w:t>）中规定，</w:t>
      </w:r>
      <w:r>
        <w:rPr>
          <w:rFonts w:hint="eastAsia" w:ascii="Times New Roman" w:hAnsi="Times New Roman" w:eastAsia="仿宋_GB2312" w:cs="仿宋_GB2312"/>
          <w:snapToGrid w:val="0"/>
          <w:color w:val="000000"/>
          <w:spacing w:val="0"/>
          <w:sz w:val="32"/>
          <w:szCs w:val="32"/>
          <w:lang w:val="en-US" w:eastAsia="zh-CN"/>
        </w:rPr>
        <w:t>月饼中纳他霉素的</w:t>
      </w:r>
      <w:r>
        <w:rPr>
          <w:rFonts w:hint="eastAsia" w:ascii="Times New Roman" w:hAnsi="Times New Roman" w:eastAsia="仿宋_GB2312" w:cs="仿宋_GB2312"/>
          <w:snapToGrid w:val="0"/>
          <w:color w:val="000000"/>
          <w:spacing w:val="0"/>
          <w:sz w:val="32"/>
          <w:szCs w:val="32"/>
        </w:rPr>
        <w:t>最大</w:t>
      </w:r>
      <w:r>
        <w:rPr>
          <w:rFonts w:hint="eastAsia" w:ascii="Times New Roman" w:hAnsi="Times New Roman" w:eastAsia="仿宋_GB2312" w:cs="仿宋_GB2312"/>
          <w:snapToGrid w:val="0"/>
          <w:color w:val="000000"/>
          <w:spacing w:val="0"/>
          <w:sz w:val="32"/>
          <w:szCs w:val="32"/>
          <w:lang w:val="en-US" w:eastAsia="zh-CN"/>
        </w:rPr>
        <w:t>残留量＜10m</w:t>
      </w:r>
      <w:r>
        <w:rPr>
          <w:rFonts w:hint="eastAsia" w:ascii="Times New Roman" w:hAnsi="Times New Roman" w:eastAsia="仿宋_GB2312" w:cs="仿宋_GB2312"/>
          <w:snapToGrid w:val="0"/>
          <w:color w:val="000000"/>
          <w:spacing w:val="0"/>
          <w:sz w:val="32"/>
          <w:szCs w:val="32"/>
        </w:rPr>
        <w:t>g/</w:t>
      </w:r>
      <w:r>
        <w:rPr>
          <w:rFonts w:hint="eastAsia" w:ascii="Times New Roman" w:hAnsi="Times New Roman" w:eastAsia="仿宋_GB2312" w:cs="仿宋_GB2312"/>
          <w:snapToGrid w:val="0"/>
          <w:color w:val="000000"/>
          <w:spacing w:val="0"/>
          <w:sz w:val="32"/>
          <w:szCs w:val="32"/>
          <w:lang w:val="en-US" w:eastAsia="zh-CN"/>
        </w:rPr>
        <w:t>k</w:t>
      </w:r>
      <w:r>
        <w:rPr>
          <w:rFonts w:hint="eastAsia" w:ascii="Times New Roman" w:hAnsi="Times New Roman" w:eastAsia="仿宋_GB2312" w:cs="仿宋_GB2312"/>
          <w:snapToGrid w:val="0"/>
          <w:color w:val="000000"/>
          <w:spacing w:val="0"/>
          <w:sz w:val="32"/>
          <w:szCs w:val="32"/>
        </w:rPr>
        <w:t>g。</w:t>
      </w:r>
      <w:r>
        <w:rPr>
          <w:rFonts w:hint="eastAsia" w:ascii="Times New Roman" w:hAnsi="Times New Roman" w:eastAsia="仿宋_GB2312" w:cs="仿宋_GB2312"/>
          <w:snapToGrid w:val="0"/>
          <w:color w:val="000000"/>
          <w:spacing w:val="0"/>
          <w:sz w:val="32"/>
          <w:szCs w:val="32"/>
          <w:lang w:val="en-US" w:eastAsia="zh-CN"/>
        </w:rPr>
        <w:t>月饼</w:t>
      </w:r>
      <w:r>
        <w:rPr>
          <w:rFonts w:hint="eastAsia" w:ascii="Times New Roman" w:hAnsi="Times New Roman" w:eastAsia="仿宋_GB2312" w:cs="仿宋_GB2312"/>
          <w:snapToGrid w:val="0"/>
          <w:color w:val="000000"/>
          <w:sz w:val="32"/>
          <w:szCs w:val="32"/>
        </w:rPr>
        <w:t>中</w:t>
      </w:r>
      <w:r>
        <w:rPr>
          <w:rFonts w:hint="eastAsia" w:eastAsia="仿宋_GB2312" w:cs="仿宋_GB2312"/>
          <w:snapToGrid w:val="0"/>
          <w:color w:val="000000"/>
          <w:sz w:val="32"/>
          <w:szCs w:val="32"/>
          <w:lang w:val="en-US" w:eastAsia="zh-CN"/>
        </w:rPr>
        <w:t>纳他霉素</w:t>
      </w:r>
      <w:r>
        <w:rPr>
          <w:rFonts w:hint="eastAsia" w:ascii="Times New Roman" w:hAnsi="Times New Roman" w:eastAsia="仿宋_GB2312" w:cs="仿宋_GB2312"/>
          <w:snapToGrid w:val="0"/>
          <w:color w:val="000000"/>
          <w:sz w:val="32"/>
          <w:szCs w:val="32"/>
          <w:highlight w:val="none"/>
          <w:lang w:val="en-US" w:eastAsia="zh-CN"/>
        </w:rPr>
        <w:t>残留量</w:t>
      </w:r>
      <w:r>
        <w:rPr>
          <w:rFonts w:hint="eastAsia" w:eastAsia="仿宋_GB2312" w:cs="仿宋_GB2312"/>
          <w:snapToGrid w:val="0"/>
          <w:color w:val="000000"/>
          <w:sz w:val="32"/>
          <w:szCs w:val="32"/>
        </w:rPr>
        <w:t>超标</w:t>
      </w:r>
      <w:r>
        <w:rPr>
          <w:rFonts w:hint="eastAsia" w:eastAsia="仿宋_GB2312" w:cs="仿宋_GB2312"/>
          <w:snapToGrid w:val="0"/>
          <w:color w:val="000000"/>
          <w:sz w:val="32"/>
          <w:szCs w:val="32"/>
          <w:lang w:val="en-US" w:eastAsia="zh-CN"/>
        </w:rPr>
        <w:t>的</w:t>
      </w:r>
      <w:r>
        <w:rPr>
          <w:rFonts w:hint="eastAsia" w:eastAsia="仿宋_GB2312" w:cs="仿宋_GB2312"/>
          <w:snapToGrid w:val="0"/>
          <w:color w:val="000000"/>
          <w:sz w:val="32"/>
          <w:szCs w:val="32"/>
        </w:rPr>
        <w:t>原因</w:t>
      </w:r>
      <w:r>
        <w:rPr>
          <w:rFonts w:hint="eastAsia" w:ascii="Times New Roman" w:hAnsi="Times New Roman" w:eastAsia="仿宋_GB2312" w:cs="仿宋_GB2312"/>
          <w:snapToGrid w:val="0"/>
          <w:color w:val="000000"/>
          <w:sz w:val="32"/>
          <w:szCs w:val="32"/>
        </w:rPr>
        <w:t>，</w:t>
      </w:r>
      <w:r>
        <w:rPr>
          <w:rFonts w:hint="eastAsia" w:ascii="Times New Roman" w:hAnsi="Times New Roman" w:eastAsia="仿宋_GB2312" w:cs="仿宋_GB2312"/>
          <w:snapToGrid w:val="0"/>
          <w:color w:val="000000"/>
          <w:sz w:val="32"/>
          <w:szCs w:val="32"/>
          <w:highlight w:val="none"/>
        </w:rPr>
        <w:t>可能是个别生产经营企业为防止食品腐败变质，超量使用添加剂</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highlight w:val="none"/>
          <w:lang w:val="en-US" w:eastAsia="zh-CN"/>
        </w:rPr>
        <w:t>也可能是生产过程使用方式不是采用表面使用</w:t>
      </w:r>
      <w:r>
        <w:rPr>
          <w:rFonts w:hint="eastAsia" w:ascii="Times New Roman" w:hAnsi="Times New Roman" w:eastAsia="仿宋_GB2312" w:cs="仿宋_GB2312"/>
          <w:snapToGrid w:val="0"/>
          <w:color w:val="000000"/>
          <w:sz w:val="32"/>
          <w:szCs w:val="32"/>
          <w:highlight w:val="none"/>
        </w:rPr>
        <w:t>；</w:t>
      </w:r>
      <w:r>
        <w:rPr>
          <w:rFonts w:hint="eastAsia" w:ascii="Times New Roman" w:hAnsi="Times New Roman" w:eastAsia="仿宋_GB2312" w:cs="仿宋_GB2312"/>
          <w:snapToGrid w:val="0"/>
          <w:color w:val="000000"/>
          <w:sz w:val="32"/>
          <w:szCs w:val="32"/>
          <w:highlight w:val="none"/>
          <w:lang w:val="en-US" w:eastAsia="zh-CN"/>
        </w:rPr>
        <w:t>还</w:t>
      </w:r>
      <w:r>
        <w:rPr>
          <w:rFonts w:hint="eastAsia" w:ascii="Times New Roman" w:hAnsi="Times New Roman" w:eastAsia="仿宋_GB2312" w:cs="仿宋_GB2312"/>
          <w:snapToGrid w:val="0"/>
          <w:color w:val="000000"/>
          <w:sz w:val="32"/>
          <w:szCs w:val="32"/>
          <w:highlight w:val="none"/>
        </w:rPr>
        <w:t>可能是在添加过程中未计量</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highlight w:val="none"/>
        </w:rPr>
        <w:t>计量不准确</w:t>
      </w:r>
      <w:r>
        <w:rPr>
          <w:rFonts w:hint="eastAsia" w:ascii="Times New Roman" w:hAnsi="Times New Roman" w:eastAsia="仿宋_GB2312" w:cs="仿宋_GB2312"/>
          <w:snapToGrid w:val="0"/>
          <w:color w:val="000000"/>
          <w:sz w:val="32"/>
          <w:szCs w:val="32"/>
          <w:lang w:val="en-US" w:eastAsia="zh-CN"/>
        </w:rPr>
        <w:t>或者</w:t>
      </w:r>
      <w:r>
        <w:rPr>
          <w:rFonts w:hint="eastAsia" w:ascii="Times New Roman" w:hAnsi="Times New Roman" w:eastAsia="仿宋_GB2312" w:cs="仿宋_GB2312"/>
          <w:snapToGrid w:val="0"/>
          <w:color w:val="000000"/>
          <w:sz w:val="32"/>
          <w:szCs w:val="32"/>
          <w:highlight w:val="none"/>
        </w:rPr>
        <w:t>使用的复配添加剂中该添加剂</w:t>
      </w:r>
      <w:r>
        <w:rPr>
          <w:rFonts w:hint="eastAsia" w:ascii="Times New Roman" w:hAnsi="Times New Roman" w:eastAsia="仿宋_GB2312" w:cs="仿宋_GB2312"/>
          <w:snapToGrid w:val="0"/>
          <w:color w:val="000000"/>
          <w:sz w:val="32"/>
          <w:szCs w:val="32"/>
          <w:highlight w:val="none"/>
          <w:lang w:val="en-US" w:eastAsia="zh-CN"/>
        </w:rPr>
        <w:t>未合并计算</w:t>
      </w:r>
      <w:r>
        <w:rPr>
          <w:rFonts w:hint="eastAsia" w:ascii="Times New Roman" w:hAnsi="Times New Roman" w:eastAsia="仿宋_GB2312" w:cs="仿宋_GB2312"/>
          <w:snapToGrid w:val="0"/>
          <w:color w:val="000000"/>
          <w:sz w:val="32"/>
          <w:szCs w:val="32"/>
        </w:rPr>
        <w:t>。</w:t>
      </w:r>
    </w:p>
    <w:p>
      <w:pPr>
        <w:topLinePunct w:val="0"/>
        <w:adjustRightInd w:val="0"/>
        <w:snapToGrid w:val="0"/>
        <w:spacing w:line="594" w:lineRule="exact"/>
        <w:ind w:firstLine="640" w:firstLineChars="200"/>
        <w:jc w:val="both"/>
        <w:rPr>
          <w:rFonts w:hint="default" w:ascii="Times New Roman" w:hAnsi="Times New Roman" w:eastAsia="黑体" w:cs="Times New Roman"/>
          <w:snapToGrid w:val="0"/>
          <w:color w:val="000000"/>
          <w:spacing w:val="0"/>
          <w:sz w:val="32"/>
          <w:szCs w:val="32"/>
          <w:lang w:val="en-US" w:eastAsia="zh-CN"/>
        </w:rPr>
      </w:pPr>
      <w:r>
        <w:rPr>
          <w:rFonts w:hint="eastAsia" w:ascii="Times New Roman" w:hAnsi="Times New Roman" w:eastAsia="黑体" w:cs="黑体"/>
          <w:snapToGrid w:val="0"/>
          <w:color w:val="000000"/>
          <w:sz w:val="32"/>
          <w:szCs w:val="32"/>
          <w:highlight w:val="none"/>
          <w:lang w:val="en-US" w:eastAsia="zh-CN"/>
        </w:rPr>
        <w:t>十五、</w:t>
      </w:r>
      <w:r>
        <w:rPr>
          <w:rFonts w:hint="default" w:ascii="Times New Roman" w:hAnsi="Times New Roman" w:eastAsia="黑体" w:cs="Times New Roman"/>
          <w:snapToGrid w:val="0"/>
          <w:color w:val="000000"/>
          <w:spacing w:val="0"/>
          <w:sz w:val="32"/>
          <w:szCs w:val="32"/>
          <w:lang w:val="en-US" w:eastAsia="zh-CN"/>
        </w:rPr>
        <w:t>铜绿假单胞菌</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94" w:lineRule="exact"/>
        <w:ind w:firstLine="640" w:firstLineChars="200"/>
        <w:textAlignment w:val="auto"/>
        <w:rPr>
          <w:rFonts w:hint="eastAsia" w:ascii="Times New Roman" w:hAnsi="Times New Roman" w:eastAsia="仿宋_GB2312" w:cs="仿宋_GB2312"/>
          <w:snapToGrid w:val="0"/>
          <w:color w:val="000000"/>
          <w:spacing w:val="0"/>
          <w:sz w:val="32"/>
          <w:szCs w:val="32"/>
          <w:highlight w:val="none"/>
          <w:lang w:val="en-US" w:eastAsia="zh-CN"/>
        </w:rPr>
      </w:pPr>
      <w:r>
        <w:rPr>
          <w:rFonts w:hint="eastAsia" w:ascii="Times New Roman" w:hAnsi="Times New Roman" w:eastAsia="仿宋_GB2312" w:cs="仿宋_GB2312"/>
          <w:snapToGrid w:val="0"/>
          <w:color w:val="000000"/>
          <w:sz w:val="32"/>
          <w:szCs w:val="32"/>
          <w:highlight w:val="none"/>
          <w:lang w:val="en-US" w:eastAsia="zh-CN"/>
        </w:rPr>
        <w:t>铜绿假单胞菌具有分解蛋白质、碳水化合物和脂肪的能力，是重要的食品腐败性细菌，易在潮湿的环境存活，对消毒剂、紫外线等具有较强的抵抗力。《食品安全国家标准 包装饮用水》（GB 19298—2014）中规定，包装饮用水同一批次产品5个样品中均不得检出铜绿假单胞菌。其他类饮用水中铜绿假单胞菌数超标的原因，可能是源水防护不当导致水体受到污染；也可能是生产过程中消毒杀菌不彻底；还可能是包装材料受到污染且未清洗消毒所致。</w:t>
      </w:r>
    </w:p>
    <w:p>
      <w:pPr>
        <w:topLinePunct w:val="0"/>
        <w:adjustRightInd w:val="0"/>
        <w:snapToGrid w:val="0"/>
        <w:spacing w:line="594" w:lineRule="exact"/>
        <w:ind w:firstLine="640" w:firstLineChars="200"/>
        <w:rPr>
          <w:rFonts w:hint="eastAsia" w:ascii="Times New Roman" w:hAnsi="Times New Roman" w:eastAsia="黑体" w:cs="Times New Roman"/>
          <w:snapToGrid w:val="0"/>
          <w:color w:val="000000"/>
          <w:sz w:val="32"/>
          <w:szCs w:val="32"/>
          <w:highlight w:val="none"/>
          <w:lang w:eastAsia="zh-CN"/>
        </w:rPr>
      </w:pPr>
      <w:r>
        <w:rPr>
          <w:rFonts w:hint="eastAsia" w:ascii="Times New Roman" w:hAnsi="Times New Roman" w:eastAsia="黑体" w:cs="Times New Roman"/>
          <w:snapToGrid w:val="0"/>
          <w:color w:val="000000"/>
          <w:spacing w:val="0"/>
          <w:sz w:val="32"/>
          <w:szCs w:val="32"/>
          <w:highlight w:val="none"/>
          <w:lang w:val="en-US" w:eastAsia="zh-CN"/>
        </w:rPr>
        <w:t>十六</w:t>
      </w:r>
      <w:r>
        <w:rPr>
          <w:rFonts w:hint="default" w:ascii="Times New Roman" w:hAnsi="Times New Roman" w:eastAsia="黑体" w:cs="Times New Roman"/>
          <w:snapToGrid w:val="0"/>
          <w:color w:val="000000"/>
          <w:spacing w:val="0"/>
          <w:sz w:val="32"/>
          <w:szCs w:val="32"/>
          <w:highlight w:val="none"/>
        </w:rPr>
        <w:t>、</w:t>
      </w:r>
      <w:r>
        <w:rPr>
          <w:rFonts w:hint="eastAsia" w:ascii="Times New Roman" w:hAnsi="Times New Roman" w:eastAsia="黑体" w:cs="Times New Roman"/>
          <w:snapToGrid w:val="0"/>
          <w:color w:val="000000"/>
          <w:sz w:val="32"/>
          <w:szCs w:val="32"/>
          <w:highlight w:val="none"/>
          <w:lang w:eastAsia="zh-CN"/>
        </w:rPr>
        <w:t>霉菌</w:t>
      </w:r>
    </w:p>
    <w:p>
      <w:pPr>
        <w:topLinePunct w:val="0"/>
        <w:adjustRightInd w:val="0"/>
        <w:snapToGrid w:val="0"/>
        <w:spacing w:line="594" w:lineRule="exact"/>
        <w:ind w:firstLine="640" w:firstLineChars="200"/>
        <w:rPr>
          <w:rFonts w:hint="eastAsia" w:ascii="Times New Roman" w:hAnsi="Times New Roman" w:eastAsia="仿宋_GB2312" w:cs="仿宋_GB2312"/>
          <w:snapToGrid w:val="0"/>
          <w:color w:val="000000"/>
          <w:spacing w:val="0"/>
          <w:sz w:val="32"/>
          <w:szCs w:val="32"/>
          <w:highlight w:val="none"/>
          <w:lang w:val="en-US" w:eastAsia="zh-CN"/>
        </w:rPr>
      </w:pPr>
      <w:r>
        <w:rPr>
          <w:rFonts w:hint="eastAsia" w:ascii="Times New Roman" w:hAnsi="Times New Roman" w:eastAsia="仿宋_GB2312" w:cs="仿宋_GB2312"/>
          <w:snapToGrid w:val="0"/>
          <w:color w:val="000000"/>
          <w:kern w:val="2"/>
          <w:sz w:val="32"/>
          <w:szCs w:val="32"/>
          <w:lang w:val="en-US" w:eastAsia="zh-CN" w:bidi="ar-SA"/>
        </w:rPr>
        <w:t>霉菌是评价食品质量安全的一项指示性指标，食品中霉菌数是指食品检样经过处理，在一定条件下培养后，计数所得1g或1mL检样中所形成的霉菌菌落数。</w:t>
      </w:r>
      <w:r>
        <w:rPr>
          <w:rFonts w:hint="eastAsia" w:ascii="Times New Roman" w:hAnsi="Times New Roman" w:eastAsia="仿宋_GB2312" w:cs="仿宋_GB2312"/>
          <w:snapToGrid w:val="0"/>
          <w:color w:val="000000"/>
          <w:sz w:val="32"/>
          <w:szCs w:val="32"/>
        </w:rPr>
        <w:t>《食品安全国家标准 蜜饯》（GB 14884</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rPr>
        <w:t>2016）中规定</w:t>
      </w:r>
      <w:r>
        <w:rPr>
          <w:rFonts w:hint="eastAsia" w:ascii="Times New Roman" w:hAnsi="Times New Roman" w:eastAsia="仿宋_GB2312" w:cs="仿宋_GB2312"/>
          <w:snapToGrid w:val="0"/>
          <w:color w:val="000000"/>
          <w:kern w:val="2"/>
          <w:sz w:val="32"/>
          <w:szCs w:val="32"/>
          <w:highlight w:val="none"/>
          <w:lang w:val="en-US" w:eastAsia="zh-CN" w:bidi="ar-SA"/>
        </w:rPr>
        <w:t>，蜜饯中</w:t>
      </w:r>
      <w:r>
        <w:rPr>
          <w:rFonts w:hint="eastAsia" w:ascii="Times New Roman" w:hAnsi="Times New Roman" w:eastAsia="仿宋_GB2312" w:cs="仿宋_GB2312"/>
          <w:snapToGrid w:val="0"/>
          <w:color w:val="000000"/>
          <w:kern w:val="2"/>
          <w:sz w:val="32"/>
          <w:szCs w:val="32"/>
          <w:lang w:val="en-US" w:eastAsia="zh-CN" w:bidi="ar-SA"/>
        </w:rPr>
        <w:t>霉菌的最大限量值为50CFU/g。</w:t>
      </w:r>
      <w:r>
        <w:rPr>
          <w:rFonts w:hint="eastAsia" w:ascii="Times New Roman" w:hAnsi="Times New Roman" w:eastAsia="仿宋_GB2312" w:cs="仿宋_GB2312"/>
          <w:snapToGrid w:val="0"/>
          <w:color w:val="000000"/>
          <w:kern w:val="2"/>
          <w:sz w:val="32"/>
          <w:szCs w:val="32"/>
          <w:highlight w:val="none"/>
          <w:lang w:val="en-US" w:eastAsia="zh-CN" w:bidi="ar-SA"/>
        </w:rPr>
        <w:t>蜜饯</w:t>
      </w:r>
      <w:r>
        <w:rPr>
          <w:rFonts w:hint="eastAsia" w:ascii="Times New Roman" w:hAnsi="Times New Roman" w:eastAsia="仿宋_GB2312" w:cs="仿宋_GB2312"/>
          <w:snapToGrid w:val="0"/>
          <w:color w:val="000000"/>
          <w:kern w:val="2"/>
          <w:sz w:val="32"/>
          <w:szCs w:val="32"/>
          <w:lang w:val="en-US" w:eastAsia="zh-CN" w:bidi="ar-SA"/>
        </w:rPr>
        <w:t>中霉菌数超标的原因，可能是生产企业所使用的原辅料受到霉菌污染；也可能是生产加工过程中卫生条件控制不到位；还可能与产品包装密封不严、储运条件控制不当等有关。</w:t>
      </w:r>
    </w:p>
    <w:p>
      <w:pPr>
        <w:pStyle w:val="2"/>
        <w:keepNext w:val="0"/>
        <w:keepLines w:val="0"/>
        <w:pageBreakBefore w:val="0"/>
        <w:widowControl w:val="0"/>
        <w:kinsoku/>
        <w:wordWrap/>
        <w:overflowPunct w:val="0"/>
        <w:topLinePunct w:val="0"/>
        <w:bidi w:val="0"/>
        <w:adjustRightInd w:val="0"/>
        <w:snapToGrid w:val="0"/>
        <w:spacing w:after="0" w:line="594" w:lineRule="exact"/>
        <w:ind w:left="0" w:leftChars="0" w:firstLine="640" w:firstLineChars="200"/>
        <w:textAlignment w:val="auto"/>
        <w:rPr>
          <w:rFonts w:hint="default" w:ascii="Times New Roman" w:hAnsi="Times New Roman" w:eastAsia="黑体" w:cs="Times New Roman"/>
          <w:snapToGrid w:val="0"/>
          <w:color w:val="000000"/>
          <w:kern w:val="2"/>
          <w:sz w:val="32"/>
          <w:szCs w:val="32"/>
          <w:lang w:val="en-US" w:eastAsia="zh-CN" w:bidi="ar-SA"/>
        </w:rPr>
      </w:pPr>
      <w:r>
        <w:rPr>
          <w:rFonts w:hint="eastAsia" w:eastAsia="黑体"/>
          <w:snapToGrid w:val="0"/>
          <w:color w:val="000000"/>
          <w:spacing w:val="0"/>
          <w:sz w:val="32"/>
          <w:szCs w:val="32"/>
          <w:highlight w:val="none"/>
          <w:lang w:val="en-US" w:eastAsia="zh-CN"/>
        </w:rPr>
        <w:t>十七</w:t>
      </w:r>
      <w:r>
        <w:rPr>
          <w:rFonts w:hint="default" w:eastAsia="黑体"/>
          <w:snapToGrid w:val="0"/>
          <w:color w:val="000000"/>
          <w:spacing w:val="0"/>
          <w:sz w:val="32"/>
          <w:szCs w:val="32"/>
          <w:highlight w:val="none"/>
          <w:lang w:val="en-US" w:eastAsia="zh-CN"/>
        </w:rPr>
        <w:t>、</w:t>
      </w:r>
      <w:r>
        <w:rPr>
          <w:rFonts w:hint="eastAsia" w:ascii="Times New Roman" w:hAnsi="Times New Roman" w:eastAsia="黑体" w:cs="Times New Roman"/>
          <w:snapToGrid w:val="0"/>
          <w:color w:val="000000"/>
          <w:kern w:val="2"/>
          <w:sz w:val="32"/>
          <w:szCs w:val="32"/>
          <w:lang w:val="en-US" w:eastAsia="zh-CN" w:bidi="ar-SA"/>
        </w:rPr>
        <w:t>大肠菌群</w:t>
      </w:r>
    </w:p>
    <w:p>
      <w:pPr>
        <w:keepNext w:val="0"/>
        <w:keepLines w:val="0"/>
        <w:pageBreakBefore w:val="0"/>
        <w:widowControl w:val="0"/>
        <w:kinsoku/>
        <w:wordWrap/>
        <w:overflowPunct w:val="0"/>
        <w:topLinePunct w:val="0"/>
        <w:autoSpaceDE/>
        <w:autoSpaceDN/>
        <w:bidi w:val="0"/>
        <w:adjustRightInd w:val="0"/>
        <w:snapToGrid w:val="0"/>
        <w:spacing w:line="594" w:lineRule="exact"/>
        <w:ind w:right="0" w:firstLine="640" w:firstLineChars="200"/>
        <w:textAlignment w:val="auto"/>
        <w:rPr>
          <w:rFonts w:hint="eastAsia" w:eastAsia="仿宋_GB2312" w:cs="仿宋_GB2312"/>
          <w:snapToGrid w:val="0"/>
          <w:color w:val="000000"/>
          <w:spacing w:val="0"/>
          <w:sz w:val="32"/>
          <w:szCs w:val="32"/>
          <w:highlight w:val="none"/>
          <w:lang w:val="en-US" w:eastAsia="zh-CN"/>
        </w:rPr>
      </w:pPr>
      <w:r>
        <w:rPr>
          <w:rFonts w:hint="eastAsia" w:ascii="Times New Roman" w:hAnsi="Times New Roman" w:eastAsia="仿宋_GB2312" w:cs="仿宋_GB2312"/>
          <w:snapToGrid w:val="0"/>
          <w:color w:val="000000"/>
          <w:sz w:val="32"/>
          <w:szCs w:val="32"/>
          <w:highlight w:val="none"/>
        </w:rPr>
        <w:t>大肠菌群是国内外通用的食品污染常用指示菌之一。食品中大肠菌群超标提示生产过程中存在较为严重的质量控制漏洞。《食品安全国家标准 保健食品》（GB 16740—2014）中规定，固态或半固态产品大肠菌群检</w:t>
      </w:r>
      <w:r>
        <w:rPr>
          <w:rFonts w:hint="eastAsia" w:ascii="Times New Roman" w:hAnsi="Times New Roman" w:eastAsia="仿宋_GB2312" w:cs="仿宋_GB2312"/>
          <w:snapToGrid w:val="0"/>
          <w:color w:val="000000"/>
          <w:sz w:val="32"/>
          <w:szCs w:val="32"/>
          <w:highlight w:val="none"/>
          <w:lang w:val="en-US" w:eastAsia="zh-CN"/>
        </w:rPr>
        <w:t>验</w:t>
      </w:r>
      <w:r>
        <w:rPr>
          <w:rFonts w:hint="eastAsia" w:ascii="Times New Roman" w:hAnsi="Times New Roman" w:eastAsia="仿宋_GB2312" w:cs="仿宋_GB2312"/>
          <w:snapToGrid w:val="0"/>
          <w:color w:val="000000"/>
          <w:sz w:val="32"/>
          <w:szCs w:val="32"/>
          <w:highlight w:val="none"/>
        </w:rPr>
        <w:t>结果不得超过0.92MPN/g</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lang w:eastAsia="zh-CN"/>
        </w:rPr>
        <w:t>《食品安全地方标准 米线、卷粉、饵丝（块）》</w:t>
      </w:r>
      <w:r>
        <w:rPr>
          <w:rFonts w:hint="eastAsia" w:ascii="Times New Roman" w:hAnsi="Times New Roman" w:eastAsia="仿宋_GB2312" w:cs="仿宋_GB2312"/>
          <w:snapToGrid w:val="0"/>
          <w:color w:val="000000"/>
          <w:sz w:val="32"/>
          <w:szCs w:val="32"/>
          <w:lang w:val="en-US" w:eastAsia="zh-CN"/>
        </w:rPr>
        <w:t>（DBS53/ 017—2023）</w:t>
      </w:r>
      <w:r>
        <w:rPr>
          <w:rFonts w:hint="eastAsia" w:ascii="Times New Roman" w:hAnsi="Times New Roman" w:eastAsia="仿宋_GB2312" w:cs="仿宋_GB2312"/>
          <w:snapToGrid w:val="0"/>
          <w:color w:val="000000"/>
          <w:sz w:val="32"/>
          <w:szCs w:val="32"/>
        </w:rPr>
        <w:t>中规定</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rPr>
        <w:t>同一批次产品5个样品的大肠菌群检验结果均不得超过100CFU/g，且最多允许2个样品的检验结果超过</w:t>
      </w:r>
      <w:r>
        <w:rPr>
          <w:rFonts w:hint="eastAsia" w:ascii="Times New Roman" w:hAnsi="Times New Roman" w:eastAsia="仿宋_GB2312" w:cs="仿宋_GB2312"/>
          <w:snapToGrid w:val="0"/>
          <w:color w:val="000000"/>
          <w:sz w:val="32"/>
          <w:szCs w:val="32"/>
          <w:lang w:val="en-US" w:eastAsia="zh-CN"/>
        </w:rPr>
        <w:t>1</w:t>
      </w:r>
      <w:r>
        <w:rPr>
          <w:rFonts w:hint="eastAsia" w:ascii="Times New Roman" w:hAnsi="Times New Roman" w:eastAsia="仿宋_GB2312" w:cs="仿宋_GB2312"/>
          <w:snapToGrid w:val="0"/>
          <w:color w:val="000000"/>
          <w:sz w:val="32"/>
          <w:szCs w:val="32"/>
        </w:rPr>
        <w:t>0CFU/g。</w:t>
      </w:r>
      <w:r>
        <w:rPr>
          <w:rFonts w:hint="eastAsia" w:ascii="Times New Roman" w:hAnsi="Times New Roman" w:eastAsia="仿宋_GB2312" w:cs="仿宋_GB2312"/>
          <w:snapToGrid w:val="0"/>
          <w:color w:val="000000"/>
          <w:sz w:val="32"/>
          <w:szCs w:val="32"/>
          <w:highlight w:val="none"/>
        </w:rPr>
        <w:t>保健食品</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lang w:val="en-US" w:eastAsia="zh-CN"/>
        </w:rPr>
        <w:t>米粉</w:t>
      </w:r>
      <w:r>
        <w:rPr>
          <w:rFonts w:hint="eastAsia" w:ascii="Times New Roman" w:hAnsi="Times New Roman" w:eastAsia="仿宋_GB2312" w:cs="仿宋_GB2312"/>
          <w:snapToGrid w:val="0"/>
          <w:color w:val="000000"/>
          <w:sz w:val="32"/>
          <w:szCs w:val="32"/>
        </w:rPr>
        <w:t>制品</w:t>
      </w:r>
      <w:r>
        <w:rPr>
          <w:rFonts w:hint="eastAsia" w:ascii="Times New Roman" w:hAnsi="Times New Roman" w:eastAsia="仿宋_GB2312" w:cs="仿宋_GB2312"/>
          <w:snapToGrid w:val="0"/>
          <w:color w:val="000000"/>
          <w:sz w:val="32"/>
          <w:szCs w:val="32"/>
          <w:highlight w:val="none"/>
        </w:rPr>
        <w:t>中大肠菌群数超标的原因，可能是产品的加工原料、包装材料受污染；也可能是产品在生产过程中受</w:t>
      </w:r>
      <w:r>
        <w:rPr>
          <w:rFonts w:hint="eastAsia" w:ascii="Times New Roman" w:hAnsi="Times New Roman" w:eastAsia="仿宋_GB2312" w:cs="仿宋_GB2312"/>
          <w:snapToGrid w:val="0"/>
          <w:color w:val="000000"/>
          <w:sz w:val="32"/>
          <w:szCs w:val="32"/>
          <w:highlight w:val="none"/>
          <w:lang w:val="en-US" w:eastAsia="zh-CN"/>
        </w:rPr>
        <w:t>到</w:t>
      </w:r>
      <w:r>
        <w:rPr>
          <w:rFonts w:hint="eastAsia" w:ascii="Times New Roman" w:hAnsi="Times New Roman" w:eastAsia="仿宋_GB2312" w:cs="仿宋_GB2312"/>
          <w:snapToGrid w:val="0"/>
          <w:color w:val="000000"/>
          <w:sz w:val="32"/>
          <w:szCs w:val="32"/>
          <w:highlight w:val="none"/>
        </w:rPr>
        <w:t>人员、工器具等的污染；还可能是灭菌不彻底导致的；还可能与产品储存条件不当有关。</w:t>
      </w:r>
    </w:p>
    <w:p>
      <w:pPr>
        <w:pStyle w:val="2"/>
        <w:keepNext w:val="0"/>
        <w:keepLines w:val="0"/>
        <w:pageBreakBefore w:val="0"/>
        <w:widowControl w:val="0"/>
        <w:kinsoku/>
        <w:wordWrap/>
        <w:overflowPunct w:val="0"/>
        <w:topLinePunct w:val="0"/>
        <w:bidi w:val="0"/>
        <w:adjustRightInd w:val="0"/>
        <w:snapToGrid w:val="0"/>
        <w:spacing w:after="0" w:line="594" w:lineRule="exact"/>
        <w:ind w:left="0" w:leftChars="0"/>
        <w:textAlignment w:val="auto"/>
        <w:rPr>
          <w:rFonts w:hint="default" w:ascii="Times New Roman" w:hAnsi="Times New Roman" w:eastAsia="黑体" w:cs="Times New Roman"/>
          <w:snapToGrid w:val="0"/>
          <w:color w:val="000000"/>
          <w:spacing w:val="0"/>
          <w:kern w:val="2"/>
          <w:sz w:val="32"/>
          <w:szCs w:val="32"/>
          <w:lang w:val="en-US" w:eastAsia="zh-CN" w:bidi="ar-SA"/>
        </w:rPr>
      </w:pPr>
      <w:r>
        <w:rPr>
          <w:rFonts w:hint="eastAsia" w:ascii="Times New Roman" w:hAnsi="Times New Roman" w:eastAsia="黑体" w:cs="黑体"/>
          <w:snapToGrid w:val="0"/>
          <w:color w:val="000000"/>
          <w:spacing w:val="0"/>
          <w:sz w:val="32"/>
          <w:szCs w:val="32"/>
          <w:highlight w:val="none"/>
          <w:lang w:val="en-US" w:eastAsia="zh-CN"/>
        </w:rPr>
        <w:t>十八、</w:t>
      </w:r>
      <w:r>
        <w:rPr>
          <w:rFonts w:hint="eastAsia" w:ascii="Times New Roman" w:hAnsi="Times New Roman" w:eastAsia="黑体" w:cs="Times New Roman"/>
          <w:snapToGrid w:val="0"/>
          <w:color w:val="000000"/>
          <w:spacing w:val="0"/>
          <w:kern w:val="2"/>
          <w:sz w:val="32"/>
          <w:szCs w:val="32"/>
          <w:lang w:val="en-US" w:eastAsia="zh-CN" w:bidi="ar-SA"/>
        </w:rPr>
        <w:t>霉菌和酵母</w:t>
      </w:r>
    </w:p>
    <w:p>
      <w:pPr>
        <w:pStyle w:val="2"/>
        <w:topLinePunct w:val="0"/>
        <w:adjustRightInd w:val="0"/>
        <w:snapToGrid w:val="0"/>
        <w:spacing w:after="0" w:line="594" w:lineRule="exact"/>
        <w:ind w:left="0" w:leftChars="0"/>
        <w:rPr>
          <w:rFonts w:hint="eastAsia" w:ascii="Times New Roman" w:hAnsi="Times New Roman" w:eastAsia="仿宋_GB2312" w:cs="仿宋_GB2312"/>
          <w:snapToGrid w:val="0"/>
          <w:color w:val="000000"/>
          <w:spacing w:val="0"/>
          <w:sz w:val="32"/>
          <w:szCs w:val="32"/>
          <w:highlight w:val="none"/>
          <w:lang w:val="en-US" w:eastAsia="zh-CN"/>
        </w:rPr>
      </w:pPr>
      <w:r>
        <w:rPr>
          <w:rFonts w:hint="eastAsia" w:ascii="Times New Roman" w:hAnsi="Times New Roman" w:eastAsia="仿宋_GB2312" w:cs="仿宋_GB2312"/>
          <w:snapToGrid w:val="0"/>
          <w:color w:val="000000"/>
          <w:szCs w:val="32"/>
          <w:highlight w:val="none"/>
        </w:rPr>
        <w:t>霉菌是评价食品质量安全的一项指示性指标，食品中霉菌数是指食品检样经过处理，在一定条件下培养后，计数所得1g或1mL检样中所形成的霉菌菌落数。</w:t>
      </w:r>
      <w:r>
        <w:rPr>
          <w:rFonts w:hint="eastAsia" w:ascii="Times New Roman" w:hAnsi="Times New Roman" w:eastAsia="仿宋_GB2312" w:cs="仿宋_GB2312"/>
          <w:snapToGrid w:val="0"/>
          <w:color w:val="000000"/>
          <w:szCs w:val="32"/>
          <w:highlight w:val="none"/>
          <w:lang w:eastAsia="zh-CN"/>
        </w:rPr>
        <w:t>酵母是评价食品卫生质量的指示性指标，食品中酵母数是指食品检样经过处理，在一定条件下培养后，计数所得</w:t>
      </w:r>
      <w:r>
        <w:rPr>
          <w:rFonts w:hint="eastAsia" w:ascii="Times New Roman" w:hAnsi="Times New Roman" w:eastAsia="仿宋_GB2312" w:cs="仿宋_GB2312"/>
          <w:snapToGrid w:val="0"/>
          <w:color w:val="000000"/>
          <w:szCs w:val="32"/>
          <w:highlight w:val="none"/>
          <w:lang w:val="en-US" w:eastAsia="zh-CN"/>
        </w:rPr>
        <w:t>1g或1mL检样中所形成的酵母菌落数。</w:t>
      </w:r>
      <w:r>
        <w:rPr>
          <w:rFonts w:hint="eastAsia" w:ascii="Times New Roman" w:hAnsi="Times New Roman" w:eastAsia="仿宋_GB2312" w:cs="仿宋_GB2312"/>
          <w:snapToGrid w:val="0"/>
          <w:color w:val="000000"/>
          <w:sz w:val="32"/>
          <w:szCs w:val="32"/>
          <w:highlight w:val="none"/>
          <w:lang w:val="en-US" w:eastAsia="zh-CN"/>
        </w:rPr>
        <w:t>《食品安全国家标准 保健食品》（GB 16740—2014）中规定，霉菌和酵母的最大限量值为50CFU/g。保健食品中霉菌和酵母数超标的原因，可能是原料或包装材料受到霉菌污染；也可能是产品在生产加工过程中卫生条件控制不到位；还可能与产品包装密封不严、储运条件控制不当等有关。</w:t>
      </w:r>
    </w:p>
    <w:p>
      <w:pPr>
        <w:pStyle w:val="2"/>
        <w:keepNext w:val="0"/>
        <w:keepLines w:val="0"/>
        <w:pageBreakBefore w:val="0"/>
        <w:widowControl w:val="0"/>
        <w:kinsoku/>
        <w:wordWrap/>
        <w:overflowPunct w:val="0"/>
        <w:topLinePunct w:val="0"/>
        <w:bidi w:val="0"/>
        <w:adjustRightInd w:val="0"/>
        <w:snapToGrid w:val="0"/>
        <w:spacing w:after="0" w:line="594" w:lineRule="exact"/>
        <w:ind w:left="0" w:leftChars="0"/>
        <w:textAlignment w:val="auto"/>
        <w:rPr>
          <w:rFonts w:hint="default" w:ascii="Times New Roman" w:hAnsi="Times New Roman" w:eastAsia="黑体" w:cs="Times New Roman"/>
          <w:snapToGrid w:val="0"/>
          <w:color w:val="000000"/>
          <w:spacing w:val="0"/>
          <w:sz w:val="32"/>
          <w:szCs w:val="32"/>
          <w:lang w:val="en-US" w:eastAsia="zh-CN"/>
        </w:rPr>
      </w:pPr>
      <w:r>
        <w:rPr>
          <w:rFonts w:hint="eastAsia" w:eastAsia="黑体"/>
          <w:snapToGrid w:val="0"/>
          <w:color w:val="000000"/>
          <w:spacing w:val="0"/>
          <w:sz w:val="32"/>
          <w:szCs w:val="32"/>
          <w:highlight w:val="none"/>
          <w:lang w:val="en-US" w:eastAsia="zh-CN"/>
        </w:rPr>
        <w:t>十九、</w:t>
      </w:r>
      <w:r>
        <w:rPr>
          <w:rFonts w:hint="eastAsia" w:ascii="Times New Roman" w:hAnsi="Times New Roman" w:eastAsia="黑体" w:cs="Times New Roman"/>
          <w:snapToGrid w:val="0"/>
          <w:color w:val="000000"/>
          <w:sz w:val="32"/>
          <w:szCs w:val="32"/>
          <w:highlight w:val="none"/>
          <w:lang w:eastAsia="zh-CN"/>
        </w:rPr>
        <w:t>菌落总数</w:t>
      </w:r>
    </w:p>
    <w:p>
      <w:pPr>
        <w:pStyle w:val="2"/>
        <w:topLinePunct w:val="0"/>
        <w:adjustRightInd w:val="0"/>
        <w:snapToGrid w:val="0"/>
        <w:spacing w:after="0" w:line="594" w:lineRule="exact"/>
        <w:ind w:left="0" w:leftChars="0"/>
        <w:rPr>
          <w:rFonts w:hint="eastAsia" w:ascii="Times New Roman" w:hAnsi="Times New Roman" w:eastAsia="仿宋_GB2312" w:cs="仿宋_GB2312"/>
          <w:snapToGrid w:val="0"/>
          <w:color w:val="000000"/>
          <w:kern w:val="2"/>
          <w:sz w:val="32"/>
          <w:szCs w:val="32"/>
          <w:highlight w:val="none"/>
          <w:lang w:val="en-US" w:eastAsia="zh-CN" w:bidi="ar-SA"/>
        </w:rPr>
      </w:pPr>
      <w:r>
        <w:rPr>
          <w:rFonts w:hint="eastAsia" w:ascii="Times New Roman" w:hAnsi="Times New Roman" w:eastAsia="仿宋_GB2312" w:cs="仿宋_GB2312"/>
          <w:snapToGrid w:val="0"/>
          <w:color w:val="000000"/>
          <w:sz w:val="32"/>
          <w:szCs w:val="32"/>
          <w:highlight w:val="none"/>
          <w:lang w:val="en-US" w:eastAsia="zh-CN"/>
        </w:rPr>
        <w:t>菌落总数是指示性微生物指标，不是致病菌指标，能够客观反映食品在生产过程中的卫生状况，一定程度上标志着食品卫生质量的优劣。</w:t>
      </w:r>
      <w:r>
        <w:rPr>
          <w:rFonts w:hint="eastAsia" w:ascii="Times New Roman" w:hAnsi="Times New Roman" w:eastAsia="仿宋_GB2312" w:cs="仿宋_GB2312"/>
          <w:snapToGrid w:val="0"/>
          <w:color w:val="000000"/>
          <w:sz w:val="32"/>
          <w:szCs w:val="32"/>
          <w:lang w:val="en-US" w:eastAsia="zh-CN"/>
        </w:rPr>
        <w:t>《食品安全国家标准 保健食品》（GB 16740—2014）中规定，</w:t>
      </w:r>
      <w:r>
        <w:rPr>
          <w:rFonts w:hint="eastAsia" w:ascii="Times New Roman" w:hAnsi="Times New Roman" w:eastAsia="仿宋_GB2312" w:cs="仿宋_GB2312"/>
          <w:snapToGrid w:val="0"/>
          <w:color w:val="000000"/>
          <w:sz w:val="32"/>
          <w:szCs w:val="32"/>
          <w:highlight w:val="none"/>
        </w:rPr>
        <w:t>固态或半固态</w:t>
      </w:r>
      <w:r>
        <w:rPr>
          <w:rFonts w:hint="eastAsia" w:ascii="Times New Roman" w:hAnsi="Times New Roman" w:eastAsia="仿宋_GB2312" w:cs="仿宋_GB2312"/>
          <w:snapToGrid w:val="0"/>
          <w:color w:val="000000"/>
          <w:sz w:val="32"/>
          <w:szCs w:val="32"/>
          <w:lang w:val="en-US" w:eastAsia="zh-CN"/>
        </w:rPr>
        <w:t>产品菌落总数的最大限量值为3×10</w:t>
      </w:r>
      <w:r>
        <w:rPr>
          <w:rFonts w:hint="eastAsia" w:ascii="Times New Roman" w:hAnsi="Times New Roman" w:eastAsia="仿宋_GB2312" w:cs="仿宋_GB2312"/>
          <w:snapToGrid w:val="0"/>
          <w:color w:val="000000"/>
          <w:sz w:val="32"/>
          <w:szCs w:val="32"/>
          <w:vertAlign w:val="superscript"/>
          <w:lang w:val="en-US" w:eastAsia="zh-CN"/>
        </w:rPr>
        <w:t>4</w:t>
      </w:r>
      <w:r>
        <w:rPr>
          <w:rFonts w:hint="eastAsia" w:ascii="Times New Roman" w:hAnsi="Times New Roman" w:eastAsia="仿宋_GB2312" w:cs="仿宋_GB2312"/>
          <w:snapToGrid w:val="0"/>
          <w:color w:val="000000"/>
          <w:sz w:val="32"/>
          <w:szCs w:val="32"/>
          <w:lang w:val="en-US" w:eastAsia="zh-CN"/>
        </w:rPr>
        <w:t>CFU/g；</w:t>
      </w:r>
      <w:r>
        <w:rPr>
          <w:rFonts w:hint="eastAsia" w:ascii="Times New Roman" w:hAnsi="Times New Roman" w:eastAsia="仿宋_GB2312" w:cs="仿宋_GB2312"/>
          <w:snapToGrid w:val="0"/>
          <w:color w:val="000000"/>
          <w:sz w:val="32"/>
          <w:szCs w:val="32"/>
          <w:lang w:eastAsia="zh-CN"/>
        </w:rPr>
        <w:t>《食品安全地方标准 米线、卷粉、饵丝（块）》</w:t>
      </w:r>
      <w:r>
        <w:rPr>
          <w:rFonts w:hint="eastAsia" w:ascii="Times New Roman" w:hAnsi="Times New Roman" w:eastAsia="仿宋_GB2312" w:cs="仿宋_GB2312"/>
          <w:snapToGrid w:val="0"/>
          <w:color w:val="000000"/>
          <w:sz w:val="32"/>
          <w:szCs w:val="32"/>
          <w:lang w:val="en-US" w:eastAsia="zh-CN"/>
        </w:rPr>
        <w:t>（DBS53/ 017—2023）</w:t>
      </w:r>
      <w:r>
        <w:rPr>
          <w:rFonts w:hint="eastAsia" w:ascii="Times New Roman" w:hAnsi="Times New Roman" w:eastAsia="仿宋_GB2312" w:cs="仿宋_GB2312"/>
          <w:snapToGrid w:val="0"/>
          <w:color w:val="000000"/>
          <w:sz w:val="32"/>
          <w:szCs w:val="32"/>
        </w:rPr>
        <w:t>中规定</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highlight w:val="none"/>
        </w:rPr>
        <w:t>同一批次产品5个样品的菌落总数</w:t>
      </w:r>
      <w:r>
        <w:rPr>
          <w:rFonts w:hint="eastAsia" w:ascii="Times New Roman" w:hAnsi="Times New Roman" w:eastAsia="仿宋_GB2312" w:cs="仿宋_GB2312"/>
          <w:snapToGrid w:val="0"/>
          <w:color w:val="000000"/>
          <w:sz w:val="32"/>
          <w:szCs w:val="32"/>
          <w:highlight w:val="none"/>
          <w:lang w:val="en-US" w:eastAsia="zh-CN"/>
        </w:rPr>
        <w:t>检验</w:t>
      </w:r>
      <w:r>
        <w:rPr>
          <w:rFonts w:hint="eastAsia" w:ascii="Times New Roman" w:hAnsi="Times New Roman" w:eastAsia="仿宋_GB2312" w:cs="仿宋_GB2312"/>
          <w:snapToGrid w:val="0"/>
          <w:color w:val="000000"/>
          <w:sz w:val="32"/>
          <w:szCs w:val="32"/>
          <w:highlight w:val="none"/>
        </w:rPr>
        <w:t>结果均不得超过</w:t>
      </w:r>
      <w:r>
        <w:rPr>
          <w:rFonts w:hint="eastAsia" w:ascii="Times New Roman" w:hAnsi="Times New Roman" w:eastAsia="仿宋_GB2312" w:cs="仿宋_GB2312"/>
          <w:snapToGrid w:val="0"/>
          <w:color w:val="000000"/>
          <w:sz w:val="32"/>
          <w:szCs w:val="32"/>
          <w:highlight w:val="none"/>
          <w:lang w:val="en-US" w:eastAsia="zh-CN"/>
        </w:rPr>
        <w:t>10</w:t>
      </w:r>
      <w:r>
        <w:rPr>
          <w:rFonts w:hint="eastAsia" w:ascii="Times New Roman" w:hAnsi="Times New Roman" w:eastAsia="仿宋_GB2312" w:cs="仿宋_GB2312"/>
          <w:snapToGrid w:val="0"/>
          <w:color w:val="000000"/>
          <w:sz w:val="32"/>
          <w:szCs w:val="32"/>
          <w:highlight w:val="none"/>
          <w:vertAlign w:val="superscript"/>
          <w:lang w:val="en-US" w:eastAsia="zh-CN"/>
        </w:rPr>
        <w:t>5</w:t>
      </w:r>
      <w:r>
        <w:rPr>
          <w:rFonts w:hint="eastAsia" w:ascii="Times New Roman" w:hAnsi="Times New Roman" w:eastAsia="仿宋_GB2312" w:cs="仿宋_GB2312"/>
          <w:snapToGrid w:val="0"/>
          <w:color w:val="000000"/>
          <w:sz w:val="32"/>
          <w:szCs w:val="32"/>
          <w:highlight w:val="none"/>
        </w:rPr>
        <w:t>CFU/</w:t>
      </w:r>
      <w:r>
        <w:rPr>
          <w:rFonts w:hint="eastAsia" w:ascii="Times New Roman" w:hAnsi="Times New Roman" w:eastAsia="仿宋_GB2312" w:cs="仿宋_GB2312"/>
          <w:snapToGrid w:val="0"/>
          <w:color w:val="000000"/>
          <w:sz w:val="32"/>
          <w:szCs w:val="32"/>
          <w:highlight w:val="none"/>
          <w:lang w:val="en-US" w:eastAsia="zh-CN"/>
        </w:rPr>
        <w:t>g</w:t>
      </w:r>
      <w:r>
        <w:rPr>
          <w:rFonts w:hint="eastAsia" w:ascii="Times New Roman" w:hAnsi="Times New Roman" w:eastAsia="仿宋_GB2312" w:cs="仿宋_GB2312"/>
          <w:snapToGrid w:val="0"/>
          <w:color w:val="000000"/>
          <w:sz w:val="32"/>
          <w:szCs w:val="32"/>
          <w:highlight w:val="none"/>
        </w:rPr>
        <w:t>，且最多允许2个样品的</w:t>
      </w:r>
      <w:r>
        <w:rPr>
          <w:rFonts w:hint="eastAsia" w:ascii="Times New Roman" w:hAnsi="Times New Roman" w:eastAsia="仿宋_GB2312" w:cs="仿宋_GB2312"/>
          <w:snapToGrid w:val="0"/>
          <w:color w:val="000000"/>
          <w:sz w:val="32"/>
          <w:szCs w:val="32"/>
          <w:highlight w:val="none"/>
          <w:lang w:val="en-US" w:eastAsia="zh-CN"/>
        </w:rPr>
        <w:t>检验</w:t>
      </w:r>
      <w:r>
        <w:rPr>
          <w:rFonts w:hint="eastAsia" w:ascii="Times New Roman" w:hAnsi="Times New Roman" w:eastAsia="仿宋_GB2312" w:cs="仿宋_GB2312"/>
          <w:snapToGrid w:val="0"/>
          <w:color w:val="000000"/>
          <w:sz w:val="32"/>
          <w:szCs w:val="32"/>
          <w:highlight w:val="none"/>
        </w:rPr>
        <w:t>结果超过</w:t>
      </w:r>
      <w:r>
        <w:rPr>
          <w:rFonts w:hint="eastAsia" w:ascii="Times New Roman" w:hAnsi="Times New Roman" w:eastAsia="仿宋_GB2312" w:cs="仿宋_GB2312"/>
          <w:snapToGrid w:val="0"/>
          <w:color w:val="000000"/>
          <w:sz w:val="32"/>
          <w:szCs w:val="32"/>
          <w:highlight w:val="none"/>
          <w:lang w:val="en-US" w:eastAsia="zh-CN"/>
        </w:rPr>
        <w:t>10</w:t>
      </w:r>
      <w:r>
        <w:rPr>
          <w:rFonts w:hint="eastAsia" w:ascii="Times New Roman" w:hAnsi="Times New Roman" w:eastAsia="仿宋_GB2312" w:cs="仿宋_GB2312"/>
          <w:snapToGrid w:val="0"/>
          <w:color w:val="000000"/>
          <w:sz w:val="32"/>
          <w:szCs w:val="32"/>
          <w:highlight w:val="none"/>
          <w:vertAlign w:val="superscript"/>
          <w:lang w:val="en-US" w:eastAsia="zh-CN"/>
        </w:rPr>
        <w:t>4</w:t>
      </w:r>
      <w:r>
        <w:rPr>
          <w:rFonts w:hint="eastAsia" w:ascii="Times New Roman" w:hAnsi="Times New Roman" w:eastAsia="仿宋_GB2312" w:cs="仿宋_GB2312"/>
          <w:snapToGrid w:val="0"/>
          <w:color w:val="000000"/>
          <w:sz w:val="32"/>
          <w:szCs w:val="32"/>
          <w:highlight w:val="none"/>
        </w:rPr>
        <w:t>CFU/</w:t>
      </w:r>
      <w:r>
        <w:rPr>
          <w:rFonts w:hint="eastAsia" w:ascii="Times New Roman" w:hAnsi="Times New Roman" w:eastAsia="仿宋_GB2312" w:cs="仿宋_GB2312"/>
          <w:snapToGrid w:val="0"/>
          <w:color w:val="000000"/>
          <w:sz w:val="32"/>
          <w:szCs w:val="32"/>
          <w:highlight w:val="none"/>
          <w:lang w:val="en-US" w:eastAsia="zh-CN"/>
        </w:rPr>
        <w:t>g</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rPr>
        <w:t xml:space="preserve">《食品安全国家标准 </w:t>
      </w:r>
      <w:r>
        <w:rPr>
          <w:rFonts w:hint="eastAsia" w:ascii="Times New Roman" w:hAnsi="Times New Roman" w:eastAsia="仿宋_GB2312" w:cs="仿宋_GB2312"/>
          <w:snapToGrid w:val="0"/>
          <w:color w:val="000000"/>
          <w:kern w:val="2"/>
          <w:sz w:val="32"/>
          <w:szCs w:val="32"/>
          <w:highlight w:val="none"/>
          <w:lang w:val="en-US" w:eastAsia="zh-CN" w:bidi="ar-SA"/>
        </w:rPr>
        <w:t>熟肉制品</w:t>
      </w:r>
      <w:r>
        <w:rPr>
          <w:rFonts w:hint="eastAsia" w:ascii="Times New Roman" w:hAnsi="Times New Roman" w:eastAsia="仿宋_GB2312" w:cs="仿宋_GB2312"/>
          <w:snapToGrid w:val="0"/>
          <w:color w:val="000000"/>
          <w:sz w:val="32"/>
          <w:szCs w:val="32"/>
        </w:rPr>
        <w:t xml:space="preserve">》（GB </w:t>
      </w:r>
      <w:r>
        <w:rPr>
          <w:rFonts w:hint="eastAsia" w:ascii="Times New Roman" w:hAnsi="Times New Roman" w:eastAsia="仿宋_GB2312" w:cs="仿宋_GB2312"/>
          <w:snapToGrid w:val="0"/>
          <w:color w:val="000000"/>
          <w:sz w:val="32"/>
          <w:szCs w:val="32"/>
          <w:lang w:val="en-US" w:eastAsia="zh-CN"/>
        </w:rPr>
        <w:t>2726</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rPr>
        <w:t>201</w:t>
      </w:r>
      <w:r>
        <w:rPr>
          <w:rFonts w:hint="eastAsia" w:ascii="Times New Roman" w:hAnsi="Times New Roman" w:eastAsia="仿宋_GB2312" w:cs="仿宋_GB2312"/>
          <w:snapToGrid w:val="0"/>
          <w:color w:val="000000"/>
          <w:sz w:val="32"/>
          <w:szCs w:val="32"/>
          <w:lang w:val="en-US" w:eastAsia="zh-CN"/>
        </w:rPr>
        <w:t>6</w:t>
      </w:r>
      <w:r>
        <w:rPr>
          <w:rFonts w:hint="eastAsia" w:ascii="Times New Roman" w:hAnsi="Times New Roman" w:eastAsia="仿宋_GB2312" w:cs="仿宋_GB2312"/>
          <w:snapToGrid w:val="0"/>
          <w:color w:val="000000"/>
          <w:sz w:val="32"/>
          <w:szCs w:val="32"/>
        </w:rPr>
        <w:t>）中规定，熟肉制品（除发酵肉制品外）同一批次产品5个样品的菌落总数</w:t>
      </w:r>
      <w:r>
        <w:rPr>
          <w:rFonts w:hint="eastAsia" w:ascii="Times New Roman" w:hAnsi="Times New Roman" w:eastAsia="仿宋_GB2312" w:cs="仿宋_GB2312"/>
          <w:snapToGrid w:val="0"/>
          <w:color w:val="000000"/>
          <w:sz w:val="32"/>
          <w:szCs w:val="32"/>
          <w:lang w:val="en-US" w:eastAsia="zh-CN"/>
        </w:rPr>
        <w:t>检验</w:t>
      </w:r>
      <w:r>
        <w:rPr>
          <w:rFonts w:hint="eastAsia" w:ascii="Times New Roman" w:hAnsi="Times New Roman" w:eastAsia="仿宋_GB2312" w:cs="仿宋_GB2312"/>
          <w:snapToGrid w:val="0"/>
          <w:color w:val="000000"/>
          <w:sz w:val="32"/>
          <w:szCs w:val="32"/>
        </w:rPr>
        <w:t>结果均不得超过</w:t>
      </w:r>
      <w:r>
        <w:rPr>
          <w:rFonts w:hint="eastAsia" w:ascii="Times New Roman" w:hAnsi="Times New Roman" w:eastAsia="仿宋_GB2312" w:cs="仿宋_GB2312"/>
          <w:snapToGrid w:val="0"/>
          <w:color w:val="000000"/>
          <w:sz w:val="32"/>
          <w:szCs w:val="32"/>
          <w:lang w:val="en-US" w:eastAsia="zh-CN"/>
        </w:rPr>
        <w:t>10</w:t>
      </w:r>
      <w:r>
        <w:rPr>
          <w:rFonts w:hint="eastAsia" w:ascii="Times New Roman" w:hAnsi="Times New Roman" w:eastAsia="仿宋_GB2312" w:cs="仿宋_GB2312"/>
          <w:snapToGrid w:val="0"/>
          <w:color w:val="000000"/>
          <w:sz w:val="32"/>
          <w:szCs w:val="32"/>
          <w:vertAlign w:val="superscript"/>
          <w:lang w:val="en-US" w:eastAsia="zh-CN"/>
        </w:rPr>
        <w:t>5</w:t>
      </w:r>
      <w:r>
        <w:rPr>
          <w:rFonts w:hint="eastAsia" w:ascii="Times New Roman" w:hAnsi="Times New Roman" w:eastAsia="仿宋_GB2312" w:cs="仿宋_GB2312"/>
          <w:snapToGrid w:val="0"/>
          <w:color w:val="000000"/>
          <w:sz w:val="32"/>
          <w:szCs w:val="32"/>
        </w:rPr>
        <w:t>CFU/</w:t>
      </w:r>
      <w:r>
        <w:rPr>
          <w:rFonts w:hint="eastAsia" w:ascii="Times New Roman" w:hAnsi="Times New Roman" w:eastAsia="仿宋_GB2312" w:cs="仿宋_GB2312"/>
          <w:snapToGrid w:val="0"/>
          <w:color w:val="000000"/>
          <w:sz w:val="32"/>
          <w:szCs w:val="32"/>
          <w:lang w:val="en-US" w:eastAsia="zh-CN"/>
        </w:rPr>
        <w:t>g</w:t>
      </w:r>
      <w:r>
        <w:rPr>
          <w:rFonts w:hint="eastAsia" w:ascii="Times New Roman" w:hAnsi="Times New Roman" w:eastAsia="仿宋_GB2312" w:cs="仿宋_GB2312"/>
          <w:snapToGrid w:val="0"/>
          <w:color w:val="000000"/>
          <w:sz w:val="32"/>
          <w:szCs w:val="32"/>
        </w:rPr>
        <w:t>，且最多允许2个样品的</w:t>
      </w:r>
      <w:r>
        <w:rPr>
          <w:rFonts w:hint="eastAsia" w:ascii="Times New Roman" w:hAnsi="Times New Roman" w:eastAsia="仿宋_GB2312" w:cs="仿宋_GB2312"/>
          <w:snapToGrid w:val="0"/>
          <w:color w:val="000000"/>
          <w:sz w:val="32"/>
          <w:szCs w:val="32"/>
          <w:lang w:val="en-US" w:eastAsia="zh-CN"/>
        </w:rPr>
        <w:t>检验</w:t>
      </w:r>
      <w:r>
        <w:rPr>
          <w:rFonts w:hint="eastAsia" w:ascii="Times New Roman" w:hAnsi="Times New Roman" w:eastAsia="仿宋_GB2312" w:cs="仿宋_GB2312"/>
          <w:snapToGrid w:val="0"/>
          <w:color w:val="000000"/>
          <w:sz w:val="32"/>
          <w:szCs w:val="32"/>
        </w:rPr>
        <w:t>结果超过</w:t>
      </w:r>
      <w:r>
        <w:rPr>
          <w:rFonts w:hint="eastAsia" w:ascii="Times New Roman" w:hAnsi="Times New Roman" w:eastAsia="仿宋_GB2312" w:cs="仿宋_GB2312"/>
          <w:snapToGrid w:val="0"/>
          <w:color w:val="000000"/>
          <w:sz w:val="32"/>
          <w:szCs w:val="32"/>
          <w:lang w:val="en-US" w:eastAsia="zh-CN"/>
        </w:rPr>
        <w:t>10</w:t>
      </w:r>
      <w:r>
        <w:rPr>
          <w:rFonts w:hint="eastAsia" w:ascii="Times New Roman" w:hAnsi="Times New Roman" w:eastAsia="仿宋_GB2312" w:cs="仿宋_GB2312"/>
          <w:snapToGrid w:val="0"/>
          <w:color w:val="000000"/>
          <w:sz w:val="32"/>
          <w:szCs w:val="32"/>
          <w:vertAlign w:val="superscript"/>
          <w:lang w:val="en-US" w:eastAsia="zh-CN"/>
        </w:rPr>
        <w:t>4</w:t>
      </w:r>
      <w:r>
        <w:rPr>
          <w:rFonts w:hint="eastAsia" w:ascii="Times New Roman" w:hAnsi="Times New Roman" w:eastAsia="仿宋_GB2312" w:cs="仿宋_GB2312"/>
          <w:snapToGrid w:val="0"/>
          <w:color w:val="000000"/>
          <w:sz w:val="32"/>
          <w:szCs w:val="32"/>
        </w:rPr>
        <w:t>CFU/</w:t>
      </w:r>
      <w:r>
        <w:rPr>
          <w:rFonts w:hint="eastAsia" w:ascii="Times New Roman" w:hAnsi="Times New Roman" w:eastAsia="仿宋_GB2312" w:cs="仿宋_GB2312"/>
          <w:snapToGrid w:val="0"/>
          <w:color w:val="000000"/>
          <w:sz w:val="32"/>
          <w:szCs w:val="32"/>
          <w:lang w:val="en-US" w:eastAsia="zh-CN"/>
        </w:rPr>
        <w:t>g</w:t>
      </w:r>
      <w:r>
        <w:rPr>
          <w:rFonts w:hint="eastAsia" w:ascii="Times New Roman" w:hAnsi="Times New Roman" w:eastAsia="仿宋_GB2312" w:cs="仿宋_GB2312"/>
          <w:snapToGrid w:val="0"/>
          <w:color w:val="000000"/>
          <w:sz w:val="32"/>
          <w:szCs w:val="32"/>
        </w:rPr>
        <w:t>。</w:t>
      </w:r>
      <w:r>
        <w:rPr>
          <w:rFonts w:hint="eastAsia" w:ascii="Times New Roman" w:hAnsi="Times New Roman" w:eastAsia="仿宋_GB2312" w:cs="仿宋_GB2312"/>
          <w:snapToGrid w:val="0"/>
          <w:color w:val="000000"/>
          <w:sz w:val="32"/>
          <w:szCs w:val="32"/>
          <w:highlight w:val="none"/>
          <w:lang w:val="en-US" w:eastAsia="zh-CN"/>
        </w:rPr>
        <w:t>保健食品、米粉制品、</w:t>
      </w:r>
      <w:r>
        <w:rPr>
          <w:rFonts w:hint="eastAsia" w:ascii="Times New Roman" w:hAnsi="Times New Roman" w:eastAsia="仿宋_GB2312" w:cs="仿宋_GB2312"/>
          <w:snapToGrid w:val="0"/>
          <w:color w:val="000000"/>
          <w:sz w:val="32"/>
          <w:szCs w:val="32"/>
          <w:lang w:val="en-US" w:eastAsia="zh-CN"/>
        </w:rPr>
        <w:t>熏煮香肠火腿制品</w:t>
      </w:r>
      <w:r>
        <w:rPr>
          <w:rFonts w:hint="eastAsia" w:ascii="Times New Roman" w:hAnsi="Times New Roman" w:eastAsia="仿宋_GB2312" w:cs="仿宋_GB2312"/>
          <w:snapToGrid w:val="0"/>
          <w:color w:val="000000"/>
          <w:sz w:val="32"/>
          <w:szCs w:val="32"/>
          <w:highlight w:val="none"/>
          <w:lang w:val="en-US" w:eastAsia="zh-CN"/>
        </w:rPr>
        <w:t>中</w:t>
      </w:r>
      <w:r>
        <w:rPr>
          <w:rFonts w:hint="eastAsia" w:ascii="Times New Roman" w:hAnsi="Times New Roman" w:eastAsia="仿宋_GB2312" w:cs="仿宋_GB2312"/>
          <w:snapToGrid w:val="0"/>
          <w:color w:val="000000"/>
          <w:sz w:val="32"/>
          <w:szCs w:val="32"/>
          <w:lang w:val="en-US" w:eastAsia="zh-CN"/>
        </w:rPr>
        <w:t>菌落总数超标</w:t>
      </w:r>
      <w:r>
        <w:rPr>
          <w:rFonts w:hint="eastAsia" w:ascii="Times New Roman" w:hAnsi="Times New Roman" w:eastAsia="仿宋_GB2312" w:cs="仿宋_GB2312"/>
          <w:snapToGrid w:val="0"/>
          <w:color w:val="000000"/>
          <w:sz w:val="32"/>
          <w:szCs w:val="32"/>
          <w:highlight w:val="none"/>
          <w:lang w:val="en-US" w:eastAsia="zh-CN"/>
        </w:rPr>
        <w:t>的原因，可能是生产企业未按要求严格控制生产加工过程的卫生条件，或者包装容器清洗消毒不到位；也可能与产品包装密封不严或储运条件控制不当等有关。</w:t>
      </w:r>
    </w:p>
    <w:p>
      <w:pPr>
        <w:topLinePunct w:val="0"/>
        <w:adjustRightInd w:val="0"/>
        <w:snapToGrid w:val="0"/>
        <w:spacing w:line="594" w:lineRule="exact"/>
        <w:ind w:firstLine="640" w:firstLineChars="200"/>
        <w:jc w:val="both"/>
        <w:rPr>
          <w:rFonts w:hint="default" w:ascii="Times New Roman" w:hAnsi="Times New Roman" w:eastAsia="黑体" w:cs="Times New Roman"/>
          <w:snapToGrid w:val="0"/>
          <w:color w:val="000000"/>
          <w:spacing w:val="0"/>
          <w:sz w:val="32"/>
          <w:szCs w:val="32"/>
          <w:lang w:val="en-US" w:eastAsia="zh-CN"/>
        </w:rPr>
      </w:pPr>
      <w:r>
        <w:rPr>
          <w:rFonts w:hint="eastAsia" w:eastAsia="黑体"/>
          <w:snapToGrid w:val="0"/>
          <w:color w:val="000000"/>
          <w:spacing w:val="0"/>
          <w:sz w:val="32"/>
          <w:szCs w:val="32"/>
          <w:lang w:val="en-US" w:eastAsia="zh-CN"/>
        </w:rPr>
        <w:t>二十、</w:t>
      </w:r>
      <w:r>
        <w:rPr>
          <w:rFonts w:hint="default" w:ascii="Times New Roman" w:hAnsi="Times New Roman" w:eastAsia="黑体" w:cs="Times New Roman"/>
          <w:snapToGrid w:val="0"/>
          <w:color w:val="000000"/>
          <w:spacing w:val="0"/>
          <w:sz w:val="32"/>
          <w:szCs w:val="32"/>
          <w:lang w:val="en-US" w:eastAsia="zh-CN"/>
        </w:rPr>
        <w:t>亚硝酸盐（以NO</w:t>
      </w:r>
      <w:r>
        <w:rPr>
          <w:rFonts w:hint="eastAsia" w:ascii="Times New Roman" w:hAnsi="Times New Roman" w:eastAsia="黑体" w:cs="Times New Roman"/>
          <w:snapToGrid w:val="0"/>
          <w:color w:val="000000"/>
          <w:spacing w:val="0"/>
          <w:sz w:val="32"/>
          <w:szCs w:val="32"/>
          <w:vertAlign w:val="subscript"/>
          <w:lang w:val="en-US" w:eastAsia="zh-CN"/>
        </w:rPr>
        <w:t>2</w:t>
      </w:r>
      <w:r>
        <w:rPr>
          <w:rFonts w:hint="default" w:ascii="Times New Roman" w:hAnsi="Times New Roman" w:eastAsia="黑体" w:cs="Times New Roman"/>
          <w:snapToGrid w:val="0"/>
          <w:color w:val="000000"/>
          <w:spacing w:val="0"/>
          <w:sz w:val="32"/>
          <w:szCs w:val="32"/>
          <w:lang w:val="en-US" w:eastAsia="zh-CN"/>
        </w:rPr>
        <w:t>⁻计）</w:t>
      </w:r>
    </w:p>
    <w:p>
      <w:pPr>
        <w:topLinePunct w:val="0"/>
        <w:adjustRightInd w:val="0"/>
        <w:snapToGrid w:val="0"/>
        <w:spacing w:line="594" w:lineRule="exact"/>
        <w:ind w:firstLine="640" w:firstLineChars="200"/>
        <w:rPr>
          <w:rFonts w:hint="eastAsia" w:ascii="Times New Roman" w:hAnsi="Times New Roman" w:eastAsia="仿宋_GB2312" w:cs="仿宋_GB2312"/>
          <w:snapToGrid w:val="0"/>
          <w:color w:val="000000"/>
          <w:kern w:val="2"/>
          <w:sz w:val="32"/>
          <w:szCs w:val="32"/>
        </w:rPr>
      </w:pPr>
      <w:r>
        <w:rPr>
          <w:rFonts w:hint="eastAsia" w:ascii="Times New Roman" w:hAnsi="Times New Roman" w:eastAsia="仿宋_GB2312" w:cs="仿宋_GB2312"/>
          <w:snapToGrid w:val="0"/>
          <w:color w:val="000000"/>
          <w:sz w:val="32"/>
          <w:szCs w:val="32"/>
          <w:highlight w:val="none"/>
          <w:lang w:val="en-US" w:eastAsia="zh-CN"/>
        </w:rPr>
        <w:t>亚硝酸盐广泛存在于环境中，是自然界中普遍的含氮化合物。水中的亚硝酸盐可由硝酸盐转化而来。亚硝酸盐能一定程度上反映水体被污染的情况。《食品安全国家标准 食品中污染物限量》（GB 2762—2022）中规定，包装饮用水（饮用天然矿泉水除外）中亚硝酸盐（以NO</w:t>
      </w:r>
      <w:r>
        <w:rPr>
          <w:rFonts w:hint="eastAsia" w:ascii="Times New Roman" w:hAnsi="Times New Roman" w:eastAsia="仿宋_GB2312" w:cs="仿宋_GB2312"/>
          <w:snapToGrid w:val="0"/>
          <w:color w:val="000000"/>
          <w:sz w:val="32"/>
          <w:szCs w:val="32"/>
          <w:highlight w:val="none"/>
          <w:vertAlign w:val="subscript"/>
          <w:lang w:val="en-US" w:eastAsia="zh-CN"/>
        </w:rPr>
        <w:t>2</w:t>
      </w:r>
      <w:r>
        <w:rPr>
          <w:rFonts w:hint="eastAsia" w:ascii="Times New Roman" w:hAnsi="Times New Roman" w:eastAsia="仿宋_GB2312" w:cs="仿宋_GB2312"/>
          <w:snapToGrid w:val="0"/>
          <w:color w:val="000000"/>
          <w:sz w:val="32"/>
          <w:szCs w:val="32"/>
          <w:highlight w:val="none"/>
          <w:vertAlign w:val="superscript"/>
          <w:lang w:val="en-US" w:eastAsia="zh-CN"/>
        </w:rPr>
        <w:t>-</w:t>
      </w:r>
      <w:r>
        <w:rPr>
          <w:rFonts w:hint="eastAsia" w:ascii="Times New Roman" w:hAnsi="Times New Roman" w:eastAsia="仿宋_GB2312" w:cs="仿宋_GB2312"/>
          <w:snapToGrid w:val="0"/>
          <w:color w:val="000000"/>
          <w:sz w:val="32"/>
          <w:szCs w:val="32"/>
          <w:highlight w:val="none"/>
          <w:lang w:val="en-US" w:eastAsia="zh-CN"/>
        </w:rPr>
        <w:t>计）的最大限量值为0.005mg/L。其他类饮用水中亚硝酸盐检验值超标的原因，可能是水体被细菌污染；也可能是消毒控制不当。</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94" w:lineRule="exact"/>
        <w:ind w:firstLine="640" w:firstLineChars="200"/>
        <w:textAlignment w:val="auto"/>
        <w:rPr>
          <w:rFonts w:hint="default" w:ascii="Times New Roman" w:hAnsi="Times New Roman" w:eastAsia="黑体" w:cs="黑体"/>
          <w:snapToGrid w:val="0"/>
          <w:color w:val="000000"/>
          <w:sz w:val="32"/>
          <w:szCs w:val="32"/>
          <w:highlight w:val="none"/>
          <w:lang w:val="en-US" w:eastAsia="zh-CN"/>
        </w:rPr>
      </w:pPr>
      <w:r>
        <w:rPr>
          <w:rFonts w:hint="eastAsia" w:ascii="Times New Roman" w:hAnsi="Times New Roman" w:eastAsia="黑体" w:cs="Times New Roman"/>
          <w:snapToGrid w:val="0"/>
          <w:color w:val="000000"/>
          <w:spacing w:val="0"/>
          <w:sz w:val="32"/>
          <w:szCs w:val="32"/>
          <w:lang w:val="en-US" w:eastAsia="zh-CN"/>
        </w:rPr>
        <w:t>二十一</w:t>
      </w:r>
      <w:r>
        <w:rPr>
          <w:rFonts w:hint="default" w:ascii="Times New Roman" w:hAnsi="Times New Roman" w:eastAsia="黑体" w:cs="Times New Roman"/>
          <w:snapToGrid w:val="0"/>
          <w:color w:val="000000"/>
          <w:spacing w:val="0"/>
          <w:sz w:val="32"/>
          <w:szCs w:val="32"/>
          <w:lang w:val="en-US" w:eastAsia="zh-CN"/>
        </w:rPr>
        <w:t>、</w:t>
      </w:r>
      <w:r>
        <w:rPr>
          <w:rFonts w:hint="default" w:ascii="Times New Roman" w:hAnsi="Times New Roman" w:eastAsia="黑体" w:cs="Times New Roman"/>
          <w:snapToGrid w:val="0"/>
          <w:color w:val="000000"/>
          <w:sz w:val="32"/>
          <w:szCs w:val="32"/>
          <w:highlight w:val="none"/>
          <w:lang w:val="en-US" w:eastAsia="zh-CN"/>
        </w:rPr>
        <w:t>铬（以Cr计）</w:t>
      </w:r>
    </w:p>
    <w:p>
      <w:pPr>
        <w:topLinePunct w:val="0"/>
        <w:autoSpaceDE/>
        <w:adjustRightInd w:val="0"/>
        <w:snapToGrid w:val="0"/>
        <w:spacing w:line="594" w:lineRule="exact"/>
        <w:ind w:firstLine="640" w:firstLineChars="200"/>
        <w:rPr>
          <w:rFonts w:hint="eastAsia" w:ascii="Times New Roman" w:hAnsi="Times New Roman" w:eastAsia="仿宋_GB2312" w:cs="仿宋_GB2312"/>
          <w:snapToGrid w:val="0"/>
          <w:color w:val="000000"/>
          <w:spacing w:val="0"/>
          <w:sz w:val="32"/>
          <w:szCs w:val="32"/>
          <w:highlight w:val="none"/>
          <w:lang w:val="en-US" w:eastAsia="zh-CN"/>
        </w:rPr>
      </w:pPr>
      <w:r>
        <w:rPr>
          <w:rFonts w:hint="eastAsia" w:ascii="Times New Roman" w:hAnsi="Times New Roman" w:eastAsia="仿宋_GB2312" w:cs="仿宋_GB2312"/>
          <w:snapToGrid w:val="0"/>
          <w:color w:val="000000"/>
          <w:sz w:val="32"/>
          <w:szCs w:val="32"/>
        </w:rPr>
        <w:t>铬是常见的重金属污染物。</w:t>
      </w:r>
      <w:r>
        <w:rPr>
          <w:rFonts w:hint="eastAsia" w:ascii="Times New Roman" w:hAnsi="Times New Roman" w:eastAsia="仿宋_GB2312" w:cs="仿宋_GB2312"/>
          <w:snapToGrid w:val="0"/>
          <w:color w:val="000000"/>
          <w:spacing w:val="0"/>
          <w:sz w:val="32"/>
          <w:szCs w:val="32"/>
          <w:highlight w:val="none"/>
        </w:rPr>
        <w:t>《食品安全国家标准 食品中污染物限量》（GB 2762</w:t>
      </w:r>
      <w:r>
        <w:rPr>
          <w:rFonts w:hint="eastAsia" w:eastAsia="仿宋_GB2312" w:cs="仿宋_GB2312"/>
          <w:snapToGrid w:val="0"/>
          <w:color w:val="000000"/>
          <w:kern w:val="2"/>
          <w:sz w:val="32"/>
          <w:szCs w:val="32"/>
          <w:highlight w:val="none"/>
        </w:rPr>
        <w:t>—</w:t>
      </w:r>
      <w:r>
        <w:rPr>
          <w:rFonts w:hint="eastAsia" w:ascii="Times New Roman" w:hAnsi="Times New Roman" w:eastAsia="仿宋_GB2312" w:cs="仿宋_GB2312"/>
          <w:snapToGrid w:val="0"/>
          <w:color w:val="000000"/>
          <w:spacing w:val="0"/>
          <w:sz w:val="32"/>
          <w:szCs w:val="32"/>
          <w:highlight w:val="none"/>
        </w:rPr>
        <w:t>20</w:t>
      </w:r>
      <w:r>
        <w:rPr>
          <w:rFonts w:hint="eastAsia" w:ascii="Times New Roman" w:hAnsi="Times New Roman" w:eastAsia="仿宋_GB2312" w:cs="仿宋_GB2312"/>
          <w:snapToGrid w:val="0"/>
          <w:color w:val="000000"/>
          <w:spacing w:val="0"/>
          <w:sz w:val="32"/>
          <w:szCs w:val="32"/>
          <w:highlight w:val="none"/>
          <w:lang w:val="en-US" w:eastAsia="zh-CN"/>
        </w:rPr>
        <w:t>22</w:t>
      </w:r>
      <w:r>
        <w:rPr>
          <w:rFonts w:hint="eastAsia" w:ascii="Times New Roman" w:hAnsi="Times New Roman" w:eastAsia="仿宋_GB2312" w:cs="仿宋_GB2312"/>
          <w:snapToGrid w:val="0"/>
          <w:color w:val="000000"/>
          <w:spacing w:val="0"/>
          <w:sz w:val="32"/>
          <w:szCs w:val="32"/>
          <w:highlight w:val="none"/>
        </w:rPr>
        <w:t>）中规定，肉及肉制品中铬</w:t>
      </w:r>
      <w:r>
        <w:rPr>
          <w:rFonts w:hint="eastAsia" w:ascii="Times New Roman" w:hAnsi="Times New Roman" w:eastAsia="仿宋_GB2312" w:cs="仿宋_GB2312"/>
          <w:snapToGrid w:val="0"/>
          <w:color w:val="000000"/>
          <w:spacing w:val="0"/>
          <w:sz w:val="32"/>
          <w:szCs w:val="32"/>
          <w:highlight w:val="none"/>
          <w:lang w:eastAsia="zh-CN"/>
        </w:rPr>
        <w:t>（</w:t>
      </w:r>
      <w:r>
        <w:rPr>
          <w:rFonts w:hint="eastAsia" w:ascii="Times New Roman" w:hAnsi="Times New Roman" w:eastAsia="仿宋_GB2312" w:cs="仿宋_GB2312"/>
          <w:snapToGrid w:val="0"/>
          <w:color w:val="000000"/>
          <w:spacing w:val="0"/>
          <w:sz w:val="32"/>
          <w:szCs w:val="32"/>
          <w:highlight w:val="none"/>
        </w:rPr>
        <w:t>以Cr计</w:t>
      </w:r>
      <w:r>
        <w:rPr>
          <w:rFonts w:hint="eastAsia" w:ascii="Times New Roman" w:hAnsi="Times New Roman" w:eastAsia="仿宋_GB2312" w:cs="仿宋_GB2312"/>
          <w:snapToGrid w:val="0"/>
          <w:color w:val="000000"/>
          <w:spacing w:val="0"/>
          <w:sz w:val="32"/>
          <w:szCs w:val="32"/>
          <w:highlight w:val="none"/>
          <w:lang w:eastAsia="zh-CN"/>
        </w:rPr>
        <w:t>）</w:t>
      </w:r>
      <w:r>
        <w:rPr>
          <w:rFonts w:hint="eastAsia" w:ascii="Times New Roman" w:hAnsi="Times New Roman" w:eastAsia="仿宋_GB2312" w:cs="仿宋_GB2312"/>
          <w:snapToGrid w:val="0"/>
          <w:color w:val="000000"/>
          <w:spacing w:val="0"/>
          <w:sz w:val="32"/>
          <w:szCs w:val="32"/>
          <w:highlight w:val="none"/>
        </w:rPr>
        <w:t>的最大限量值为1.0mg/kg。肉及肉制品中铬（以Cr计）检验值超标的原因，</w:t>
      </w:r>
      <w:r>
        <w:rPr>
          <w:rFonts w:hint="eastAsia" w:ascii="Times New Roman" w:hAnsi="Times New Roman" w:eastAsia="仿宋_GB2312" w:cs="仿宋_GB2312"/>
          <w:snapToGrid w:val="0"/>
          <w:color w:val="000000"/>
          <w:sz w:val="32"/>
          <w:szCs w:val="32"/>
          <w:highlight w:val="none"/>
        </w:rPr>
        <w:t>可能是生产企业使用的原料中铬含量</w:t>
      </w:r>
      <w:r>
        <w:rPr>
          <w:rFonts w:hint="eastAsia" w:ascii="Times New Roman" w:hAnsi="Times New Roman" w:eastAsia="仿宋_GB2312" w:cs="仿宋_GB2312"/>
          <w:snapToGrid w:val="0"/>
          <w:color w:val="000000"/>
          <w:sz w:val="32"/>
          <w:szCs w:val="32"/>
          <w:highlight w:val="none"/>
          <w:lang w:val="en-US" w:eastAsia="zh-CN"/>
        </w:rPr>
        <w:t>较高</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highlight w:val="none"/>
        </w:rPr>
        <w:t>也可能是生产设备或包装材料中的铬迁移带入。</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94" w:lineRule="exact"/>
        <w:ind w:right="0" w:rightChars="0" w:firstLine="640" w:firstLineChars="200"/>
        <w:jc w:val="both"/>
        <w:textAlignment w:val="auto"/>
        <w:rPr>
          <w:rFonts w:hint="eastAsia" w:ascii="Times New Roman" w:hAnsi="Times New Roman" w:eastAsia="黑体" w:cs="黑体"/>
          <w:snapToGrid w:val="0"/>
          <w:color w:val="000000"/>
          <w:sz w:val="32"/>
          <w:szCs w:val="32"/>
          <w:highlight w:val="none"/>
          <w:lang w:eastAsia="zh-CN"/>
        </w:rPr>
      </w:pPr>
      <w:r>
        <w:rPr>
          <w:rFonts w:hint="eastAsia" w:ascii="Times New Roman" w:hAnsi="Times New Roman" w:eastAsia="黑体" w:cs="黑体"/>
          <w:snapToGrid w:val="0"/>
          <w:color w:val="000000"/>
          <w:spacing w:val="0"/>
          <w:sz w:val="32"/>
          <w:szCs w:val="32"/>
          <w:highlight w:val="none"/>
          <w:lang w:val="en-US" w:eastAsia="zh-CN"/>
        </w:rPr>
        <w:t>二十二、</w:t>
      </w:r>
      <w:r>
        <w:rPr>
          <w:rFonts w:hint="eastAsia" w:ascii="Times New Roman" w:hAnsi="Times New Roman" w:eastAsia="黑体" w:cs="黑体"/>
          <w:snapToGrid w:val="0"/>
          <w:color w:val="000000"/>
          <w:sz w:val="32"/>
          <w:szCs w:val="32"/>
          <w:highlight w:val="none"/>
          <w:lang w:eastAsia="zh-CN"/>
        </w:rPr>
        <w:t>阴离子合成洗涤剂（以十二烷基苯磺酸钠计）</w:t>
      </w:r>
    </w:p>
    <w:p>
      <w:pPr>
        <w:topLinePunct w:val="0"/>
        <w:adjustRightInd w:val="0"/>
        <w:snapToGrid w:val="0"/>
        <w:spacing w:line="594" w:lineRule="exact"/>
        <w:ind w:firstLine="640" w:firstLineChars="200"/>
        <w:rPr>
          <w:rFonts w:hint="eastAsia" w:ascii="Times New Roman" w:hAnsi="Times New Roman" w:eastAsia="仿宋_GB2312" w:cs="仿宋_GB2312"/>
          <w:snapToGrid w:val="0"/>
          <w:color w:val="000000"/>
          <w:sz w:val="32"/>
          <w:szCs w:val="32"/>
          <w:highlight w:val="none"/>
          <w:lang w:val="en-US" w:eastAsia="zh-CN"/>
        </w:rPr>
      </w:pPr>
      <w:r>
        <w:rPr>
          <w:rFonts w:hint="eastAsia" w:ascii="Times New Roman" w:hAnsi="Times New Roman" w:eastAsia="仿宋_GB2312" w:cs="仿宋_GB2312"/>
          <w:snapToGrid w:val="0"/>
          <w:color w:val="000000"/>
          <w:kern w:val="2"/>
          <w:sz w:val="32"/>
          <w:szCs w:val="32"/>
          <w:highlight w:val="none"/>
          <w:lang w:val="en-US" w:eastAsia="zh-CN" w:bidi="ar-SA"/>
        </w:rPr>
        <w:t>阴离子合成洗涤剂主要成分是十二烷基苯磺酸钠，是洗衣粉、洗洁精、洗衣液、肥皂等洗涤剂的主要成分，是一种低毒物质，因其使用方便、易溶解、稳定性好、成本低等优点被广泛使用。阴离子合成洗涤剂是消毒餐饮具质量评价的重要指标之一。</w:t>
      </w:r>
      <w:r>
        <w:rPr>
          <w:rFonts w:hint="eastAsia" w:ascii="Times New Roman" w:hAnsi="Times New Roman" w:eastAsia="仿宋_GB2312" w:cs="仿宋_GB2312"/>
          <w:snapToGrid w:val="0"/>
          <w:color w:val="000000"/>
          <w:sz w:val="32"/>
          <w:szCs w:val="32"/>
          <w:highlight w:val="none"/>
        </w:rPr>
        <w:t>《</w:t>
      </w:r>
      <w:r>
        <w:rPr>
          <w:rFonts w:hint="eastAsia" w:ascii="Times New Roman" w:hAnsi="Times New Roman" w:eastAsia="仿宋_GB2312" w:cs="仿宋_GB2312"/>
          <w:snapToGrid w:val="0"/>
          <w:color w:val="000000"/>
          <w:sz w:val="32"/>
          <w:szCs w:val="32"/>
          <w:highlight w:val="none"/>
          <w:lang w:eastAsia="zh-CN"/>
        </w:rPr>
        <w:t>食品安全国家标准</w:t>
      </w:r>
      <w:r>
        <w:rPr>
          <w:rFonts w:hint="eastAsia" w:ascii="Times New Roman" w:hAnsi="Times New Roman" w:eastAsia="仿宋_GB2312" w:cs="仿宋_GB2312"/>
          <w:snapToGrid w:val="0"/>
          <w:color w:val="000000"/>
          <w:sz w:val="32"/>
          <w:szCs w:val="32"/>
          <w:highlight w:val="none"/>
          <w:lang w:val="en-US" w:eastAsia="zh-CN"/>
        </w:rPr>
        <w:t xml:space="preserve"> 消毒餐（饮）具</w:t>
      </w:r>
      <w:r>
        <w:rPr>
          <w:rFonts w:hint="eastAsia" w:ascii="Times New Roman" w:hAnsi="Times New Roman" w:eastAsia="仿宋_GB2312" w:cs="仿宋_GB2312"/>
          <w:snapToGrid w:val="0"/>
          <w:color w:val="000000"/>
          <w:sz w:val="32"/>
          <w:szCs w:val="32"/>
          <w:highlight w:val="none"/>
        </w:rPr>
        <w:t>》（</w:t>
      </w:r>
      <w:r>
        <w:rPr>
          <w:rFonts w:hint="eastAsia" w:ascii="Times New Roman" w:hAnsi="Times New Roman" w:eastAsia="仿宋_GB2312" w:cs="仿宋_GB2312"/>
          <w:snapToGrid w:val="0"/>
          <w:color w:val="000000"/>
          <w:sz w:val="32"/>
          <w:szCs w:val="32"/>
          <w:highlight w:val="none"/>
          <w:lang w:val="en-US" w:eastAsia="zh-CN"/>
        </w:rPr>
        <w:t>GB 14934—2016</w:t>
      </w:r>
      <w:r>
        <w:rPr>
          <w:rFonts w:hint="eastAsia" w:ascii="Times New Roman" w:hAnsi="Times New Roman" w:eastAsia="仿宋_GB2312" w:cs="仿宋_GB2312"/>
          <w:snapToGrid w:val="0"/>
          <w:color w:val="000000"/>
          <w:sz w:val="32"/>
          <w:szCs w:val="32"/>
          <w:highlight w:val="none"/>
        </w:rPr>
        <w:t>）</w:t>
      </w:r>
      <w:r>
        <w:rPr>
          <w:rFonts w:hint="eastAsia" w:ascii="Times New Roman" w:hAnsi="Times New Roman" w:eastAsia="仿宋_GB2312" w:cs="仿宋_GB2312"/>
          <w:snapToGrid w:val="0"/>
          <w:color w:val="000000"/>
          <w:sz w:val="32"/>
          <w:szCs w:val="32"/>
          <w:highlight w:val="none"/>
          <w:lang w:val="en-US" w:eastAsia="zh-CN"/>
        </w:rPr>
        <w:t>中规定</w:t>
      </w:r>
      <w:r>
        <w:rPr>
          <w:rFonts w:hint="eastAsia" w:ascii="Times New Roman" w:hAnsi="Times New Roman" w:eastAsia="仿宋_GB2312" w:cs="仿宋_GB2312"/>
          <w:snapToGrid w:val="0"/>
          <w:color w:val="000000"/>
          <w:sz w:val="32"/>
          <w:szCs w:val="32"/>
          <w:highlight w:val="none"/>
        </w:rPr>
        <w:t>，</w:t>
      </w:r>
      <w:r>
        <w:rPr>
          <w:rFonts w:hint="eastAsia" w:ascii="Times New Roman" w:hAnsi="Times New Roman" w:eastAsia="仿宋_GB2312" w:cs="仿宋_GB2312"/>
          <w:snapToGrid w:val="0"/>
          <w:color w:val="000000"/>
          <w:sz w:val="32"/>
          <w:szCs w:val="32"/>
          <w:highlight w:val="none"/>
          <w:lang w:val="en-US" w:eastAsia="zh-CN"/>
        </w:rPr>
        <w:t>消毒餐（饮）具的阴离子合成洗涤剂（以十二烷基苯磺酸钠计）限量为不得检出/100cm</w:t>
      </w:r>
      <w:r>
        <w:rPr>
          <w:rFonts w:hint="eastAsia" w:ascii="Times New Roman" w:hAnsi="Times New Roman" w:eastAsia="仿宋_GB2312" w:cs="仿宋_GB2312"/>
          <w:snapToGrid w:val="0"/>
          <w:color w:val="000000"/>
          <w:sz w:val="32"/>
          <w:szCs w:val="32"/>
          <w:highlight w:val="none"/>
          <w:vertAlign w:val="superscript"/>
          <w:lang w:val="en-US" w:eastAsia="zh-CN"/>
        </w:rPr>
        <w:t>2</w:t>
      </w:r>
      <w:r>
        <w:rPr>
          <w:rFonts w:hint="eastAsia" w:ascii="Times New Roman" w:hAnsi="Times New Roman" w:eastAsia="仿宋_GB2312" w:cs="仿宋_GB2312"/>
          <w:snapToGrid w:val="0"/>
          <w:color w:val="000000"/>
          <w:sz w:val="32"/>
          <w:szCs w:val="32"/>
          <w:highlight w:val="none"/>
          <w:lang w:val="en-US" w:eastAsia="zh-CN"/>
        </w:rPr>
        <w:t>。</w:t>
      </w:r>
      <w:r>
        <w:rPr>
          <w:rFonts w:hint="eastAsia" w:ascii="Times New Roman" w:hAnsi="Times New Roman" w:eastAsia="仿宋_GB2312" w:cs="仿宋_GB2312"/>
          <w:snapToGrid w:val="0"/>
          <w:color w:val="000000"/>
          <w:kern w:val="2"/>
          <w:sz w:val="32"/>
          <w:szCs w:val="32"/>
          <w:highlight w:val="none"/>
          <w:lang w:val="en-US" w:eastAsia="zh-CN" w:bidi="ar-SA"/>
        </w:rPr>
        <w:t>餐饮具中检出阴离子合成洗涤剂的原因，可能是由于餐饮具消毒单位使用的洗涤剂不合格或使用量过大，或未经足够量清水冲洗，最终残留在餐饮具中。</w:t>
      </w:r>
    </w:p>
    <w:p>
      <w:pPr>
        <w:keepNext w:val="0"/>
        <w:keepLines w:val="0"/>
        <w:pageBreakBefore w:val="0"/>
        <w:widowControl w:val="0"/>
        <w:kinsoku/>
        <w:wordWrap/>
        <w:overflowPunct w:val="0"/>
        <w:topLinePunct w:val="0"/>
        <w:autoSpaceDE/>
        <w:autoSpaceDN/>
        <w:bidi w:val="0"/>
        <w:adjustRightInd w:val="0"/>
        <w:snapToGrid w:val="0"/>
        <w:spacing w:line="594" w:lineRule="exact"/>
        <w:ind w:right="0" w:firstLine="640" w:firstLineChars="200"/>
        <w:jc w:val="both"/>
        <w:textAlignment w:val="auto"/>
        <w:rPr>
          <w:rFonts w:hint="default" w:ascii="Times New Roman" w:hAnsi="Times New Roman" w:eastAsia="黑体" w:cs="Times New Roman"/>
          <w:snapToGrid w:val="0"/>
          <w:color w:val="000000"/>
          <w:spacing w:val="0"/>
          <w:sz w:val="32"/>
          <w:szCs w:val="32"/>
          <w:lang w:val="en-US" w:eastAsia="zh-CN"/>
        </w:rPr>
      </w:pPr>
      <w:r>
        <w:rPr>
          <w:rFonts w:hint="eastAsia" w:eastAsia="黑体"/>
          <w:snapToGrid w:val="0"/>
          <w:color w:val="000000"/>
          <w:spacing w:val="0"/>
          <w:sz w:val="32"/>
          <w:szCs w:val="32"/>
          <w:lang w:val="en-US" w:eastAsia="zh-CN"/>
        </w:rPr>
        <w:t>二十三、</w:t>
      </w:r>
      <w:r>
        <w:rPr>
          <w:rFonts w:hint="eastAsia" w:ascii="Times New Roman" w:hAnsi="Times New Roman" w:eastAsia="黑体" w:cs="Times New Roman"/>
          <w:snapToGrid w:val="0"/>
          <w:color w:val="000000"/>
          <w:spacing w:val="0"/>
          <w:sz w:val="32"/>
          <w:szCs w:val="32"/>
          <w:lang w:val="en-US" w:eastAsia="zh-CN"/>
        </w:rPr>
        <w:t>黄曲霉毒素B</w:t>
      </w:r>
      <w:r>
        <w:rPr>
          <w:rFonts w:hint="eastAsia" w:ascii="Times New Roman" w:hAnsi="Times New Roman" w:eastAsia="黑体" w:cs="Times New Roman"/>
          <w:snapToGrid w:val="0"/>
          <w:color w:val="000000"/>
          <w:spacing w:val="0"/>
          <w:sz w:val="32"/>
          <w:szCs w:val="32"/>
          <w:vertAlign w:val="subscript"/>
          <w:lang w:val="en-US" w:eastAsia="zh-CN"/>
        </w:rPr>
        <w:t>1</w:t>
      </w:r>
    </w:p>
    <w:p>
      <w:pPr>
        <w:keepNext w:val="0"/>
        <w:keepLines w:val="0"/>
        <w:pageBreakBefore w:val="0"/>
        <w:numPr>
          <w:ilvl w:val="0"/>
          <w:numId w:val="0"/>
        </w:numPr>
        <w:kinsoku/>
        <w:wordWrap/>
        <w:overflowPunct w:val="0"/>
        <w:topLinePunct w:val="0"/>
        <w:autoSpaceDE/>
        <w:autoSpaceDN/>
        <w:bidi w:val="0"/>
        <w:adjustRightInd w:val="0"/>
        <w:snapToGrid w:val="0"/>
        <w:spacing w:line="594" w:lineRule="exact"/>
        <w:ind w:firstLine="640" w:firstLineChars="200"/>
        <w:textAlignment w:val="auto"/>
        <w:rPr>
          <w:rFonts w:hint="eastAsia" w:ascii="Times New Roman" w:hAnsi="Times New Roman" w:eastAsia="仿宋_GB2312" w:cs="仿宋_GB2312"/>
          <w:snapToGrid w:val="0"/>
          <w:color w:val="000000"/>
          <w:spacing w:val="0"/>
          <w:sz w:val="32"/>
          <w:szCs w:val="32"/>
          <w:lang w:val="en-US" w:eastAsia="zh-CN"/>
        </w:rPr>
      </w:pPr>
      <w:r>
        <w:rPr>
          <w:rFonts w:hint="eastAsia" w:ascii="Times New Roman" w:hAnsi="Times New Roman" w:eastAsia="仿宋_GB2312" w:cs="仿宋_GB2312"/>
          <w:snapToGrid w:val="0"/>
          <w:color w:val="000000"/>
          <w:sz w:val="32"/>
          <w:szCs w:val="32"/>
        </w:rPr>
        <w:t>黄曲霉毒素B</w:t>
      </w:r>
      <w:r>
        <w:rPr>
          <w:rFonts w:hint="eastAsia" w:ascii="Times New Roman" w:hAnsi="Times New Roman" w:eastAsia="仿宋_GB2312" w:cs="仿宋_GB2312"/>
          <w:snapToGrid w:val="0"/>
          <w:color w:val="000000"/>
          <w:sz w:val="32"/>
          <w:szCs w:val="32"/>
          <w:vertAlign w:val="subscript"/>
        </w:rPr>
        <w:t>1</w:t>
      </w:r>
      <w:r>
        <w:rPr>
          <w:rFonts w:hint="eastAsia" w:ascii="Times New Roman" w:hAnsi="Times New Roman" w:eastAsia="仿宋_GB2312" w:cs="仿宋_GB2312"/>
          <w:snapToGrid w:val="0"/>
          <w:color w:val="000000"/>
          <w:sz w:val="32"/>
          <w:szCs w:val="32"/>
        </w:rPr>
        <w:t>是一种真菌毒素</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rPr>
        <w:t>《食品安全国家标准 食品中真菌毒素限量》（GB 2761</w:t>
      </w:r>
      <w:r>
        <w:rPr>
          <w:rFonts w:hint="eastAsia" w:ascii="Times New Roman" w:hAnsi="Times New Roman" w:eastAsia="仿宋_GB2312" w:cs="仿宋_GB2312"/>
          <w:snapToGrid w:val="0"/>
          <w:color w:val="000000"/>
          <w:sz w:val="32"/>
          <w:szCs w:val="32"/>
          <w:lang w:val="en-US" w:eastAsia="zh-CN"/>
        </w:rPr>
        <w:t>—</w:t>
      </w:r>
      <w:r>
        <w:rPr>
          <w:rFonts w:hint="eastAsia" w:ascii="Times New Roman" w:hAnsi="Times New Roman" w:eastAsia="仿宋_GB2312" w:cs="仿宋_GB2312"/>
          <w:snapToGrid w:val="0"/>
          <w:color w:val="000000"/>
          <w:sz w:val="32"/>
          <w:szCs w:val="32"/>
        </w:rPr>
        <w:t>2017）中规定，花生及其制品</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rPr>
        <w:t>玉米面</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rPr>
        <w:t>渣、片</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rPr>
        <w:t>中黄曲霉毒素B</w:t>
      </w:r>
      <w:r>
        <w:rPr>
          <w:rFonts w:hint="eastAsia" w:ascii="Times New Roman" w:hAnsi="Times New Roman" w:eastAsia="仿宋_GB2312" w:cs="仿宋_GB2312"/>
          <w:snapToGrid w:val="0"/>
          <w:color w:val="000000"/>
          <w:sz w:val="32"/>
          <w:szCs w:val="32"/>
          <w:vertAlign w:val="subscript"/>
        </w:rPr>
        <w:t>1</w:t>
      </w:r>
      <w:r>
        <w:rPr>
          <w:rFonts w:hint="eastAsia" w:ascii="Times New Roman" w:hAnsi="Times New Roman" w:eastAsia="仿宋_GB2312" w:cs="仿宋_GB2312"/>
          <w:snapToGrid w:val="0"/>
          <w:color w:val="000000"/>
          <w:sz w:val="32"/>
          <w:szCs w:val="32"/>
        </w:rPr>
        <w:t>的最大限量值为20μg/kg。花生及其制品</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rPr>
        <w:t>玉米粉（片、渣）中黄曲霉毒素B</w:t>
      </w:r>
      <w:r>
        <w:rPr>
          <w:rFonts w:hint="eastAsia" w:ascii="Times New Roman" w:hAnsi="Times New Roman" w:eastAsia="仿宋_GB2312" w:cs="仿宋_GB2312"/>
          <w:snapToGrid w:val="0"/>
          <w:color w:val="000000"/>
          <w:sz w:val="32"/>
          <w:szCs w:val="32"/>
          <w:vertAlign w:val="subscript"/>
        </w:rPr>
        <w:t>1</w:t>
      </w:r>
      <w:r>
        <w:rPr>
          <w:rFonts w:hint="eastAsia" w:ascii="Times New Roman" w:hAnsi="Times New Roman" w:eastAsia="仿宋_GB2312" w:cs="仿宋_GB2312"/>
          <w:snapToGrid w:val="0"/>
          <w:color w:val="000000"/>
          <w:sz w:val="32"/>
          <w:szCs w:val="32"/>
        </w:rPr>
        <w:t>检</w:t>
      </w:r>
      <w:r>
        <w:rPr>
          <w:rFonts w:hint="eastAsia" w:ascii="Times New Roman" w:hAnsi="Times New Roman" w:eastAsia="仿宋_GB2312" w:cs="仿宋_GB2312"/>
          <w:snapToGrid w:val="0"/>
          <w:color w:val="000000"/>
          <w:sz w:val="32"/>
          <w:szCs w:val="32"/>
          <w:lang w:val="en-US" w:eastAsia="zh-CN"/>
        </w:rPr>
        <w:t>验</w:t>
      </w:r>
      <w:r>
        <w:rPr>
          <w:rFonts w:hint="eastAsia" w:ascii="Times New Roman" w:hAnsi="Times New Roman" w:eastAsia="仿宋_GB2312" w:cs="仿宋_GB2312"/>
          <w:snapToGrid w:val="0"/>
          <w:color w:val="000000"/>
          <w:sz w:val="32"/>
          <w:szCs w:val="32"/>
        </w:rPr>
        <w:t>值超标的原因</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rPr>
        <w:t>可能是生产</w:t>
      </w:r>
      <w:r>
        <w:rPr>
          <w:rFonts w:hint="eastAsia" w:ascii="Times New Roman" w:hAnsi="Times New Roman" w:eastAsia="仿宋_GB2312" w:cs="仿宋_GB2312"/>
          <w:snapToGrid w:val="0"/>
          <w:color w:val="000000"/>
          <w:sz w:val="32"/>
          <w:szCs w:val="32"/>
          <w:lang w:val="en-US" w:eastAsia="zh-CN"/>
        </w:rPr>
        <w:t>者</w:t>
      </w:r>
      <w:r>
        <w:rPr>
          <w:rFonts w:hint="eastAsia" w:ascii="Times New Roman" w:hAnsi="Times New Roman" w:eastAsia="仿宋_GB2312" w:cs="仿宋_GB2312"/>
          <w:snapToGrid w:val="0"/>
          <w:color w:val="000000"/>
          <w:sz w:val="32"/>
          <w:szCs w:val="32"/>
        </w:rPr>
        <w:t>使用的原料受到黄曲霉等霉菌污染</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rPr>
        <w:t>也可能是生产加工过程中卫生条件控制不严</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rPr>
        <w:t>生产工艺不达标</w:t>
      </w:r>
      <w:r>
        <w:rPr>
          <w:rFonts w:hint="eastAsia" w:ascii="Times New Roman" w:hAnsi="Times New Roman" w:eastAsia="仿宋_GB2312" w:cs="仿宋_GB2312"/>
          <w:snapToGrid w:val="0"/>
          <w:color w:val="000000"/>
          <w:sz w:val="32"/>
          <w:szCs w:val="32"/>
          <w:lang w:eastAsia="zh-CN"/>
        </w:rPr>
        <w:t>。</w:t>
      </w:r>
    </w:p>
    <w:p>
      <w:pPr>
        <w:topLinePunct w:val="0"/>
        <w:adjustRightInd w:val="0"/>
        <w:snapToGrid w:val="0"/>
        <w:spacing w:line="594" w:lineRule="exact"/>
        <w:ind w:firstLine="640" w:firstLineChars="200"/>
        <w:jc w:val="both"/>
        <w:rPr>
          <w:rFonts w:hint="default" w:ascii="Times New Roman" w:hAnsi="Times New Roman" w:eastAsia="黑体" w:cs="Times New Roman"/>
          <w:snapToGrid w:val="0"/>
          <w:color w:val="000000"/>
          <w:spacing w:val="0"/>
          <w:sz w:val="32"/>
          <w:szCs w:val="32"/>
          <w:lang w:val="en-US" w:eastAsia="zh-CN"/>
        </w:rPr>
      </w:pPr>
      <w:r>
        <w:rPr>
          <w:rFonts w:hint="default" w:ascii="Times New Roman" w:hAnsi="Times New Roman" w:eastAsia="黑体" w:cs="Times New Roman"/>
          <w:snapToGrid w:val="0"/>
          <w:color w:val="000000"/>
          <w:spacing w:val="0"/>
          <w:sz w:val="32"/>
          <w:szCs w:val="32"/>
          <w:highlight w:val="none"/>
          <w:lang w:val="en-US" w:eastAsia="zh-CN"/>
        </w:rPr>
        <w:t>二十</w:t>
      </w:r>
      <w:r>
        <w:rPr>
          <w:rFonts w:hint="eastAsia" w:ascii="Times New Roman" w:hAnsi="Times New Roman" w:eastAsia="黑体" w:cs="Times New Roman"/>
          <w:snapToGrid w:val="0"/>
          <w:color w:val="000000"/>
          <w:spacing w:val="0"/>
          <w:sz w:val="32"/>
          <w:szCs w:val="32"/>
          <w:highlight w:val="none"/>
          <w:lang w:val="en-US" w:eastAsia="zh-CN"/>
        </w:rPr>
        <w:t>四</w:t>
      </w:r>
      <w:r>
        <w:rPr>
          <w:rFonts w:hint="default" w:ascii="Times New Roman" w:hAnsi="Times New Roman" w:eastAsia="黑体" w:cs="Times New Roman"/>
          <w:snapToGrid w:val="0"/>
          <w:color w:val="000000"/>
          <w:spacing w:val="0"/>
          <w:sz w:val="32"/>
          <w:szCs w:val="32"/>
          <w:highlight w:val="none"/>
        </w:rPr>
        <w:t>、</w:t>
      </w:r>
      <w:r>
        <w:rPr>
          <w:rFonts w:hint="default" w:ascii="Times New Roman" w:hAnsi="Times New Roman" w:eastAsia="黑体" w:cs="Times New Roman"/>
          <w:snapToGrid w:val="0"/>
          <w:color w:val="000000"/>
          <w:spacing w:val="0"/>
          <w:sz w:val="32"/>
          <w:szCs w:val="32"/>
          <w:lang w:val="en-US" w:eastAsia="zh-CN"/>
        </w:rPr>
        <w:t>耗氧量</w:t>
      </w:r>
      <w:r>
        <w:rPr>
          <w:rFonts w:hint="eastAsia" w:ascii="Times New Roman" w:hAnsi="Times New Roman" w:eastAsia="黑体" w:cs="Times New Roman"/>
          <w:snapToGrid w:val="0"/>
          <w:color w:val="000000"/>
          <w:spacing w:val="0"/>
          <w:sz w:val="32"/>
          <w:szCs w:val="32"/>
          <w:lang w:val="en-US" w:eastAsia="zh-CN"/>
        </w:rPr>
        <w:t>（</w:t>
      </w:r>
      <w:r>
        <w:rPr>
          <w:rFonts w:hint="default" w:ascii="Times New Roman" w:hAnsi="Times New Roman" w:eastAsia="黑体" w:cs="Times New Roman"/>
          <w:snapToGrid w:val="0"/>
          <w:color w:val="000000"/>
          <w:spacing w:val="0"/>
          <w:sz w:val="32"/>
          <w:szCs w:val="32"/>
          <w:lang w:val="en-US" w:eastAsia="zh-CN"/>
        </w:rPr>
        <w:t>以O</w:t>
      </w:r>
      <w:r>
        <w:rPr>
          <w:rFonts w:hint="default" w:ascii="Times New Roman" w:hAnsi="Times New Roman" w:eastAsia="黑体" w:cs="Times New Roman"/>
          <w:snapToGrid w:val="0"/>
          <w:color w:val="000000"/>
          <w:spacing w:val="0"/>
          <w:sz w:val="32"/>
          <w:szCs w:val="32"/>
          <w:vertAlign w:val="subscript"/>
          <w:lang w:val="en-US" w:eastAsia="zh-CN"/>
        </w:rPr>
        <w:t>2</w:t>
      </w:r>
      <w:r>
        <w:rPr>
          <w:rFonts w:hint="default" w:ascii="Times New Roman" w:hAnsi="Times New Roman" w:eastAsia="黑体" w:cs="Times New Roman"/>
          <w:snapToGrid w:val="0"/>
          <w:color w:val="000000"/>
          <w:spacing w:val="0"/>
          <w:sz w:val="32"/>
          <w:szCs w:val="32"/>
          <w:lang w:val="en-US" w:eastAsia="zh-CN"/>
        </w:rPr>
        <w:t>计</w:t>
      </w:r>
      <w:r>
        <w:rPr>
          <w:rFonts w:hint="eastAsia" w:ascii="Times New Roman" w:hAnsi="Times New Roman" w:eastAsia="黑体" w:cs="Times New Roman"/>
          <w:snapToGrid w:val="0"/>
          <w:color w:val="000000"/>
          <w:spacing w:val="0"/>
          <w:sz w:val="32"/>
          <w:szCs w:val="32"/>
          <w:lang w:val="en-US" w:eastAsia="zh-CN"/>
        </w:rPr>
        <w:t>）</w:t>
      </w:r>
    </w:p>
    <w:p>
      <w:pPr>
        <w:pStyle w:val="2"/>
        <w:numPr>
          <w:ilvl w:val="0"/>
          <w:numId w:val="0"/>
        </w:numPr>
        <w:topLinePunct w:val="0"/>
        <w:adjustRightInd w:val="0"/>
        <w:snapToGrid w:val="0"/>
        <w:spacing w:after="0" w:line="594" w:lineRule="exact"/>
        <w:ind w:left="0" w:leftChars="0" w:firstLine="640" w:firstLineChars="200"/>
        <w:rPr>
          <w:rFonts w:hint="eastAsia" w:ascii="Times New Roman" w:hAnsi="Times New Roman" w:eastAsia="仿宋_GB2312" w:cs="仿宋_GB2312"/>
          <w:snapToGrid w:val="0"/>
          <w:color w:val="000000"/>
          <w:sz w:val="32"/>
          <w:szCs w:val="32"/>
          <w:highlight w:val="none"/>
          <w:lang w:val="en-US" w:eastAsia="zh-CN"/>
        </w:rPr>
      </w:pPr>
      <w:r>
        <w:rPr>
          <w:rFonts w:hint="eastAsia" w:ascii="Times New Roman" w:hAnsi="Times New Roman" w:eastAsia="仿宋_GB2312" w:cs="仿宋_GB2312"/>
          <w:snapToGrid w:val="0"/>
          <w:color w:val="000000"/>
          <w:sz w:val="32"/>
          <w:szCs w:val="32"/>
          <w:highlight w:val="none"/>
          <w:lang w:val="en-US" w:eastAsia="zh-CN"/>
        </w:rPr>
        <w:t>耗氧量是用来间接评价水体受有机物污染状况的综合指标之一，是包装饮用水质量的重要理化指标，当水体被有机物污染后耗氧量会增加。《食品安全国家标准 包装饮用水》（GB 19298—2014）规定，包装饮用水中耗氧量（以O</w:t>
      </w:r>
      <w:r>
        <w:rPr>
          <w:rFonts w:hint="eastAsia" w:ascii="Times New Roman" w:hAnsi="Times New Roman" w:eastAsia="仿宋_GB2312" w:cs="仿宋_GB2312"/>
          <w:snapToGrid w:val="0"/>
          <w:color w:val="000000"/>
          <w:sz w:val="32"/>
          <w:szCs w:val="32"/>
          <w:highlight w:val="none"/>
          <w:vertAlign w:val="subscript"/>
          <w:lang w:val="en-US" w:eastAsia="zh-CN"/>
        </w:rPr>
        <w:t>2</w:t>
      </w:r>
      <w:r>
        <w:rPr>
          <w:rFonts w:hint="eastAsia" w:ascii="Times New Roman" w:hAnsi="Times New Roman" w:eastAsia="仿宋_GB2312" w:cs="仿宋_GB2312"/>
          <w:snapToGrid w:val="0"/>
          <w:color w:val="000000"/>
          <w:sz w:val="32"/>
          <w:szCs w:val="32"/>
          <w:highlight w:val="none"/>
          <w:lang w:val="en-US" w:eastAsia="zh-CN"/>
        </w:rPr>
        <w:t>计）应≤2.0mg/L。饮用纯净水耗氧量检验值超标的原因，可能是原水受到有机物的污染；也可能是原水中氯化物含量过高，企业在生产过程中去除不到位；还可能是生产经营企业过量使用消毒剂或消毒剂清洗不彻底。</w:t>
      </w:r>
    </w:p>
    <w:p>
      <w:pPr>
        <w:pStyle w:val="2"/>
        <w:keepNext w:val="0"/>
        <w:keepLines w:val="0"/>
        <w:pageBreakBefore w:val="0"/>
        <w:kinsoku/>
        <w:wordWrap/>
        <w:overflowPunct w:val="0"/>
        <w:topLinePunct w:val="0"/>
        <w:autoSpaceDE/>
        <w:autoSpaceDN/>
        <w:bidi w:val="0"/>
        <w:adjustRightInd w:val="0"/>
        <w:snapToGrid w:val="0"/>
        <w:spacing w:after="0" w:line="594" w:lineRule="exact"/>
        <w:ind w:left="0" w:leftChars="0"/>
        <w:textAlignment w:val="auto"/>
        <w:rPr>
          <w:rFonts w:hint="eastAsia" w:ascii="Times New Roman" w:hAnsi="Times New Roman" w:eastAsia="黑体" w:cs="Times New Roman"/>
          <w:snapToGrid w:val="0"/>
          <w:color w:val="000000"/>
          <w:spacing w:val="0"/>
          <w:sz w:val="32"/>
          <w:szCs w:val="32"/>
          <w:lang w:val="en-US" w:eastAsia="zh-CN"/>
        </w:rPr>
      </w:pPr>
      <w:r>
        <w:rPr>
          <w:rFonts w:hint="eastAsia" w:ascii="Times New Roman" w:hAnsi="Times New Roman" w:eastAsia="黑体" w:cs="Times New Roman"/>
          <w:snapToGrid w:val="0"/>
          <w:color w:val="000000"/>
          <w:sz w:val="32"/>
          <w:szCs w:val="32"/>
          <w:highlight w:val="none"/>
          <w:lang w:val="en-US" w:eastAsia="zh-CN"/>
        </w:rPr>
        <w:t>二十五、</w:t>
      </w:r>
      <w:r>
        <w:rPr>
          <w:rFonts w:hint="default" w:ascii="Times New Roman" w:hAnsi="Times New Roman" w:eastAsia="黑体" w:cs="Times New Roman"/>
          <w:snapToGrid w:val="0"/>
          <w:color w:val="000000"/>
          <w:spacing w:val="0"/>
          <w:sz w:val="32"/>
          <w:szCs w:val="32"/>
          <w:lang w:val="en-US" w:eastAsia="zh-CN"/>
        </w:rPr>
        <w:t>酸价（以脂肪计）（KOH）</w:t>
      </w:r>
    </w:p>
    <w:p>
      <w:pPr>
        <w:widowControl w:val="0"/>
        <w:numPr>
          <w:ilvl w:val="0"/>
          <w:numId w:val="0"/>
        </w:numPr>
        <w:topLinePunct w:val="0"/>
        <w:adjustRightInd w:val="0"/>
        <w:snapToGrid w:val="0"/>
        <w:spacing w:line="594" w:lineRule="exact"/>
        <w:ind w:firstLine="640" w:firstLineChars="200"/>
        <w:rPr>
          <w:rFonts w:hint="eastAsia" w:ascii="Times New Roman" w:hAnsi="Times New Roman" w:eastAsia="仿宋_GB2312" w:cs="仿宋_GB2312"/>
          <w:snapToGrid w:val="0"/>
          <w:color w:val="000000"/>
          <w:spacing w:val="0"/>
          <w:sz w:val="32"/>
          <w:szCs w:val="32"/>
          <w:highlight w:val="none"/>
          <w:lang w:val="en-US" w:eastAsia="zh-CN"/>
        </w:rPr>
      </w:pPr>
      <w:r>
        <w:rPr>
          <w:rFonts w:hint="eastAsia" w:eastAsia="仿宋_GB2312" w:cs="仿宋_GB2312"/>
          <w:snapToGrid w:val="0"/>
          <w:color w:val="000000"/>
          <w:sz w:val="32"/>
          <w:szCs w:val="32"/>
        </w:rPr>
        <w:t>酸价</w:t>
      </w:r>
      <w:r>
        <w:rPr>
          <w:rFonts w:hint="eastAsia" w:eastAsia="仿宋_GB2312" w:cs="仿宋_GB2312"/>
          <w:snapToGrid w:val="0"/>
          <w:color w:val="000000"/>
          <w:sz w:val="32"/>
          <w:szCs w:val="32"/>
          <w:lang w:eastAsia="zh-CN"/>
        </w:rPr>
        <w:t>，</w:t>
      </w:r>
      <w:r>
        <w:rPr>
          <w:rFonts w:hint="eastAsia" w:eastAsia="仿宋_GB2312" w:cs="仿宋_GB2312"/>
          <w:snapToGrid w:val="0"/>
          <w:color w:val="000000"/>
          <w:sz w:val="32"/>
          <w:szCs w:val="32"/>
          <w:lang w:val="en-US" w:eastAsia="zh-CN"/>
        </w:rPr>
        <w:t>又称酸值，</w:t>
      </w:r>
      <w:r>
        <w:rPr>
          <w:rFonts w:hint="eastAsia" w:eastAsia="仿宋_GB2312" w:cs="仿宋_GB2312"/>
          <w:snapToGrid w:val="0"/>
          <w:color w:val="000000"/>
          <w:sz w:val="32"/>
          <w:szCs w:val="32"/>
        </w:rPr>
        <w:t>主要反映食品中油脂的酸败程度。</w:t>
      </w:r>
      <w:r>
        <w:rPr>
          <w:rFonts w:hint="eastAsia" w:ascii="Times New Roman" w:hAnsi="Times New Roman" w:eastAsia="仿宋_GB2312" w:cs="仿宋_GB2312"/>
          <w:snapToGrid w:val="0"/>
          <w:color w:val="000000"/>
          <w:sz w:val="32"/>
          <w:szCs w:val="32"/>
          <w:highlight w:val="none"/>
          <w:lang w:val="en-US" w:eastAsia="zh-CN"/>
        </w:rPr>
        <w:t>《食品安全国家标准 糕点、面包》（GB 7099—2015）</w:t>
      </w:r>
      <w:r>
        <w:rPr>
          <w:rFonts w:hint="eastAsia" w:ascii="Times New Roman" w:hAnsi="Times New Roman" w:eastAsia="仿宋_GB2312" w:cs="仿宋_GB2312"/>
          <w:snapToGrid w:val="0"/>
          <w:color w:val="000000"/>
          <w:sz w:val="32"/>
          <w:szCs w:val="32"/>
          <w:highlight w:val="none"/>
        </w:rPr>
        <w:t>中规定，</w:t>
      </w:r>
      <w:r>
        <w:rPr>
          <w:rFonts w:hint="eastAsia" w:ascii="Times New Roman" w:hAnsi="Times New Roman" w:eastAsia="仿宋_GB2312" w:cs="仿宋_GB2312"/>
          <w:snapToGrid w:val="0"/>
          <w:color w:val="000000"/>
          <w:sz w:val="32"/>
          <w:szCs w:val="32"/>
          <w:highlight w:val="none"/>
          <w:lang w:val="en-US" w:eastAsia="zh-CN"/>
        </w:rPr>
        <w:t>月饼</w:t>
      </w:r>
      <w:r>
        <w:rPr>
          <w:rFonts w:hint="eastAsia" w:ascii="Times New Roman" w:hAnsi="Times New Roman" w:eastAsia="仿宋_GB2312" w:cs="仿宋_GB2312"/>
          <w:snapToGrid w:val="0"/>
          <w:color w:val="000000"/>
          <w:sz w:val="32"/>
          <w:szCs w:val="32"/>
          <w:highlight w:val="none"/>
        </w:rPr>
        <w:t>中酸价（以脂肪计）</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highlight w:val="none"/>
          <w:lang w:val="en-US" w:eastAsia="zh-CN"/>
        </w:rPr>
        <w:t>KOH</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highlight w:val="none"/>
        </w:rPr>
        <w:t>的最大限量值为</w:t>
      </w:r>
      <w:r>
        <w:rPr>
          <w:rFonts w:hint="eastAsia" w:ascii="Times New Roman" w:hAnsi="Times New Roman" w:eastAsia="仿宋_GB2312" w:cs="仿宋_GB2312"/>
          <w:snapToGrid w:val="0"/>
          <w:color w:val="000000"/>
          <w:sz w:val="32"/>
          <w:szCs w:val="32"/>
          <w:highlight w:val="none"/>
          <w:lang w:val="en-US" w:eastAsia="zh-CN"/>
        </w:rPr>
        <w:t>5</w:t>
      </w:r>
      <w:r>
        <w:rPr>
          <w:rFonts w:hint="eastAsia" w:ascii="Times New Roman" w:hAnsi="Times New Roman" w:eastAsia="仿宋_GB2312" w:cs="仿宋_GB2312"/>
          <w:snapToGrid w:val="0"/>
          <w:color w:val="000000"/>
          <w:sz w:val="32"/>
          <w:szCs w:val="32"/>
          <w:highlight w:val="none"/>
        </w:rPr>
        <w:t>mg/g</w:t>
      </w:r>
      <w:r>
        <w:rPr>
          <w:rFonts w:hint="eastAsia"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z w:val="32"/>
          <w:szCs w:val="32"/>
          <w:highlight w:val="none"/>
          <w:lang w:val="en-US" w:eastAsia="zh-CN"/>
        </w:rPr>
        <w:t>月饼</w:t>
      </w:r>
      <w:r>
        <w:rPr>
          <w:rFonts w:hint="eastAsia" w:eastAsia="仿宋_GB2312" w:cs="仿宋_GB2312"/>
          <w:snapToGrid w:val="0"/>
          <w:color w:val="000000"/>
          <w:sz w:val="32"/>
          <w:szCs w:val="32"/>
        </w:rPr>
        <w:t>中酸价</w:t>
      </w:r>
      <w:r>
        <w:rPr>
          <w:rFonts w:hint="eastAsia" w:ascii="Times New Roman" w:hAnsi="Times New Roman" w:eastAsia="仿宋_GB2312" w:cs="仿宋_GB2312"/>
          <w:snapToGrid w:val="0"/>
          <w:color w:val="000000"/>
          <w:sz w:val="32"/>
          <w:szCs w:val="32"/>
        </w:rPr>
        <w:t>（以脂肪计）</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lang w:val="en-US" w:eastAsia="zh-CN"/>
        </w:rPr>
        <w:t>KOH</w:t>
      </w:r>
      <w:r>
        <w:rPr>
          <w:rFonts w:hint="eastAsia" w:ascii="Times New Roman" w:hAnsi="Times New Roman" w:eastAsia="仿宋_GB2312" w:cs="仿宋_GB2312"/>
          <w:snapToGrid w:val="0"/>
          <w:color w:val="000000"/>
          <w:sz w:val="32"/>
          <w:szCs w:val="32"/>
          <w:lang w:eastAsia="zh-CN"/>
        </w:rPr>
        <w:t>）</w:t>
      </w:r>
      <w:r>
        <w:rPr>
          <w:rFonts w:hint="eastAsia" w:eastAsia="仿宋_GB2312" w:cs="仿宋_GB2312"/>
          <w:snapToGrid w:val="0"/>
          <w:color w:val="000000"/>
          <w:sz w:val="32"/>
          <w:szCs w:val="32"/>
          <w:lang w:val="en-US" w:eastAsia="zh-CN"/>
        </w:rPr>
        <w:t>检</w:t>
      </w:r>
      <w:r>
        <w:rPr>
          <w:rFonts w:hint="eastAsia" w:ascii="Times New Roman" w:hAnsi="Times New Roman" w:eastAsia="仿宋_GB2312" w:cs="仿宋_GB2312"/>
          <w:snapToGrid w:val="0"/>
          <w:color w:val="000000"/>
          <w:sz w:val="32"/>
          <w:szCs w:val="32"/>
          <w:lang w:val="en-US" w:eastAsia="zh-CN"/>
        </w:rPr>
        <w:t>验</w:t>
      </w:r>
      <w:r>
        <w:rPr>
          <w:rFonts w:hint="eastAsia" w:eastAsia="仿宋_GB2312" w:cs="仿宋_GB2312"/>
          <w:snapToGrid w:val="0"/>
          <w:color w:val="000000"/>
          <w:sz w:val="32"/>
          <w:szCs w:val="32"/>
          <w:lang w:val="en-US" w:eastAsia="zh-CN"/>
        </w:rPr>
        <w:t>值</w:t>
      </w:r>
      <w:r>
        <w:rPr>
          <w:rFonts w:hint="eastAsia" w:eastAsia="仿宋_GB2312" w:cs="仿宋_GB2312"/>
          <w:snapToGrid w:val="0"/>
          <w:color w:val="000000"/>
          <w:sz w:val="32"/>
          <w:szCs w:val="32"/>
        </w:rPr>
        <w:t>超标的原因，可能是企业原料采购把关不严</w:t>
      </w:r>
      <w:r>
        <w:rPr>
          <w:rFonts w:hint="eastAsia" w:eastAsia="仿宋_GB2312" w:cs="仿宋_GB2312"/>
          <w:snapToGrid w:val="0"/>
          <w:color w:val="000000"/>
          <w:sz w:val="32"/>
          <w:szCs w:val="32"/>
          <w:lang w:eastAsia="zh-CN"/>
        </w:rPr>
        <w:t>；</w:t>
      </w:r>
      <w:r>
        <w:rPr>
          <w:rFonts w:hint="eastAsia" w:eastAsia="仿宋_GB2312" w:cs="仿宋_GB2312"/>
          <w:snapToGrid w:val="0"/>
          <w:color w:val="000000"/>
          <w:sz w:val="32"/>
          <w:szCs w:val="32"/>
        </w:rPr>
        <w:t>也可能是生产工艺不达标</w:t>
      </w:r>
      <w:r>
        <w:rPr>
          <w:rFonts w:hint="eastAsia" w:eastAsia="仿宋_GB2312" w:cs="仿宋_GB2312"/>
          <w:snapToGrid w:val="0"/>
          <w:color w:val="000000"/>
          <w:sz w:val="32"/>
          <w:szCs w:val="32"/>
          <w:lang w:eastAsia="zh-CN"/>
        </w:rPr>
        <w:t>；</w:t>
      </w:r>
      <w:r>
        <w:rPr>
          <w:rFonts w:hint="eastAsia" w:eastAsia="仿宋_GB2312" w:cs="仿宋_GB2312"/>
          <w:snapToGrid w:val="0"/>
          <w:color w:val="000000"/>
          <w:sz w:val="32"/>
          <w:szCs w:val="32"/>
        </w:rPr>
        <w:t>还可能与产品储藏条件不当有关。</w:t>
      </w:r>
    </w:p>
    <w:p>
      <w:pPr>
        <w:topLinePunct w:val="0"/>
        <w:adjustRightInd w:val="0"/>
        <w:snapToGrid w:val="0"/>
        <w:spacing w:line="594" w:lineRule="exact"/>
        <w:ind w:firstLine="640" w:firstLineChars="200"/>
        <w:rPr>
          <w:rFonts w:hint="eastAsia" w:ascii="Times New Roman" w:hAnsi="Times New Roman" w:eastAsia="黑体" w:cs="Times New Roman"/>
          <w:snapToGrid w:val="0"/>
          <w:color w:val="000000"/>
          <w:sz w:val="32"/>
          <w:szCs w:val="32"/>
          <w:highlight w:val="none"/>
          <w:lang w:val="en-US" w:eastAsia="zh-CN"/>
        </w:rPr>
      </w:pPr>
      <w:r>
        <w:rPr>
          <w:rFonts w:hint="default" w:ascii="Times New Roman" w:hAnsi="Times New Roman" w:eastAsia="黑体" w:cs="Times New Roman"/>
          <w:snapToGrid w:val="0"/>
          <w:color w:val="000000"/>
          <w:spacing w:val="0"/>
          <w:sz w:val="32"/>
          <w:szCs w:val="32"/>
          <w:highlight w:val="none"/>
          <w:lang w:val="en-US" w:eastAsia="zh-CN"/>
        </w:rPr>
        <w:t>二十</w:t>
      </w:r>
      <w:r>
        <w:rPr>
          <w:rFonts w:hint="eastAsia" w:ascii="Times New Roman" w:hAnsi="Times New Roman" w:eastAsia="黑体" w:cs="Times New Roman"/>
          <w:snapToGrid w:val="0"/>
          <w:color w:val="000000"/>
          <w:spacing w:val="0"/>
          <w:sz w:val="32"/>
          <w:szCs w:val="32"/>
          <w:highlight w:val="none"/>
          <w:lang w:val="en-US" w:eastAsia="zh-CN"/>
        </w:rPr>
        <w:t>六</w:t>
      </w:r>
      <w:r>
        <w:rPr>
          <w:rFonts w:hint="default" w:ascii="Times New Roman" w:hAnsi="Times New Roman" w:eastAsia="黑体" w:cs="Times New Roman"/>
          <w:snapToGrid w:val="0"/>
          <w:color w:val="000000"/>
          <w:spacing w:val="0"/>
          <w:sz w:val="32"/>
          <w:szCs w:val="32"/>
          <w:highlight w:val="none"/>
        </w:rPr>
        <w:t>、</w:t>
      </w:r>
      <w:r>
        <w:rPr>
          <w:rFonts w:hint="eastAsia" w:ascii="Times New Roman" w:hAnsi="Times New Roman" w:eastAsia="黑体" w:cs="Times New Roman"/>
          <w:snapToGrid w:val="0"/>
          <w:color w:val="000000"/>
          <w:sz w:val="32"/>
          <w:szCs w:val="32"/>
          <w:highlight w:val="none"/>
          <w:lang w:val="en-US" w:eastAsia="zh-CN"/>
        </w:rPr>
        <w:t>水分</w:t>
      </w:r>
    </w:p>
    <w:p>
      <w:pPr>
        <w:numPr>
          <w:ilvl w:val="0"/>
          <w:numId w:val="0"/>
        </w:numPr>
        <w:topLinePunct w:val="0"/>
        <w:autoSpaceDE/>
        <w:autoSpaceDN/>
        <w:adjustRightInd w:val="0"/>
        <w:snapToGrid w:val="0"/>
        <w:spacing w:line="594" w:lineRule="exact"/>
        <w:ind w:firstLine="640" w:firstLineChars="200"/>
        <w:rPr>
          <w:rFonts w:hint="eastAsia" w:ascii="Times New Roman" w:hAnsi="Times New Roman" w:eastAsia="仿宋_GB2312" w:cs="仿宋_GB2312"/>
          <w:snapToGrid w:val="0"/>
          <w:color w:val="000000"/>
          <w:sz w:val="32"/>
          <w:szCs w:val="32"/>
          <w:highlight w:val="lightGray"/>
          <w:lang w:val="en-US" w:eastAsia="zh-CN"/>
        </w:rPr>
      </w:pPr>
      <w:r>
        <w:rPr>
          <w:rFonts w:hint="eastAsia" w:ascii="Times New Roman" w:hAnsi="Times New Roman" w:eastAsia="仿宋_GB2312" w:cs="仿宋_GB2312"/>
          <w:snapToGrid w:val="0"/>
          <w:color w:val="000000"/>
          <w:spacing w:val="0"/>
          <w:kern w:val="2"/>
          <w:sz w:val="32"/>
          <w:szCs w:val="32"/>
          <w:highlight w:val="none"/>
          <w:lang w:val="en-US" w:eastAsia="zh-CN" w:bidi="ar-SA"/>
        </w:rPr>
        <w:t>食品中水分含量影响产品的品质、风味及耐储藏性。合理的水分控制，可避免产品的功效成分或营养物质分解、酶解变质、霉变等，保持产品质量稳定。《黑木耳》（GB/T 6192—2019）中规定，水分应≤12.0%。黑木耳中水分含量超标的原因，可能是生产企业对原材料把关不严；也可能是加工或储运条件控制不当</w:t>
      </w:r>
      <w:r>
        <w:rPr>
          <w:rFonts w:hint="eastAsia" w:ascii="Times New Roman" w:hAnsi="Times New Roman" w:eastAsia="仿宋_GB2312" w:cs="仿宋_GB2312"/>
          <w:snapToGrid w:val="0"/>
          <w:color w:val="000000"/>
          <w:kern w:val="2"/>
          <w:sz w:val="32"/>
          <w:szCs w:val="32"/>
          <w:highlight w:val="none"/>
          <w:lang w:val="en-US" w:eastAsia="zh-CN" w:bidi="ar-SA"/>
        </w:rPr>
        <w:t>。</w:t>
      </w:r>
    </w:p>
    <w:p>
      <w:pPr>
        <w:topLinePunct w:val="0"/>
        <w:adjustRightInd w:val="0"/>
        <w:snapToGrid w:val="0"/>
        <w:spacing w:line="594" w:lineRule="exact"/>
        <w:ind w:firstLine="640" w:firstLineChars="200"/>
        <w:jc w:val="both"/>
        <w:rPr>
          <w:rFonts w:hint="default" w:ascii="Times New Roman" w:hAnsi="Times New Roman" w:eastAsia="黑体" w:cs="Times New Roman"/>
          <w:snapToGrid w:val="0"/>
          <w:color w:val="000000"/>
          <w:spacing w:val="0"/>
          <w:sz w:val="32"/>
          <w:szCs w:val="32"/>
          <w:lang w:val="en-US" w:eastAsia="zh-CN"/>
        </w:rPr>
      </w:pPr>
      <w:r>
        <w:rPr>
          <w:rFonts w:hint="eastAsia" w:ascii="Times New Roman" w:hAnsi="Times New Roman" w:eastAsia="黑体" w:cs="黑体"/>
          <w:snapToGrid w:val="0"/>
          <w:color w:val="000000"/>
          <w:spacing w:val="0"/>
          <w:sz w:val="32"/>
          <w:szCs w:val="32"/>
          <w:highlight w:val="none"/>
          <w:lang w:val="en-US" w:eastAsia="zh-CN"/>
        </w:rPr>
        <w:t>二十七</w:t>
      </w:r>
      <w:r>
        <w:rPr>
          <w:rFonts w:hint="eastAsia" w:ascii="Times New Roman" w:hAnsi="Times New Roman" w:eastAsia="黑体" w:cs="黑体"/>
          <w:snapToGrid w:val="0"/>
          <w:color w:val="000000"/>
          <w:spacing w:val="0"/>
          <w:sz w:val="32"/>
          <w:szCs w:val="32"/>
          <w:highlight w:val="none"/>
        </w:rPr>
        <w:t>、</w:t>
      </w:r>
      <w:r>
        <w:rPr>
          <w:rFonts w:hint="default" w:ascii="Times New Roman" w:hAnsi="Times New Roman" w:eastAsia="黑体" w:cs="Times New Roman"/>
          <w:snapToGrid w:val="0"/>
          <w:color w:val="000000"/>
          <w:spacing w:val="0"/>
          <w:sz w:val="32"/>
          <w:szCs w:val="32"/>
          <w:lang w:val="en-US" w:eastAsia="zh-CN"/>
        </w:rPr>
        <w:t>电导率</w:t>
      </w:r>
    </w:p>
    <w:p>
      <w:pPr>
        <w:pStyle w:val="2"/>
        <w:topLinePunct w:val="0"/>
        <w:adjustRightInd w:val="0"/>
        <w:snapToGrid w:val="0"/>
        <w:spacing w:after="0" w:line="594" w:lineRule="exact"/>
        <w:ind w:left="0" w:leftChars="0"/>
        <w:rPr>
          <w:rFonts w:hint="eastAsia" w:ascii="Times New Roman" w:hAnsi="Times New Roman" w:eastAsia="仿宋_GB2312" w:cs="仿宋_GB2312"/>
          <w:snapToGrid w:val="0"/>
          <w:color w:val="000000"/>
          <w:sz w:val="32"/>
          <w:szCs w:val="32"/>
          <w:highlight w:val="none"/>
        </w:rPr>
      </w:pPr>
      <w:r>
        <w:rPr>
          <w:rFonts w:hint="eastAsia" w:ascii="Times New Roman" w:hAnsi="Times New Roman" w:eastAsia="仿宋_GB2312" w:cs="仿宋_GB2312"/>
          <w:snapToGrid w:val="0"/>
          <w:color w:val="000000"/>
          <w:sz w:val="32"/>
          <w:szCs w:val="32"/>
          <w:highlight w:val="none"/>
          <w:lang w:val="en-US" w:eastAsia="zh-CN"/>
        </w:rPr>
        <w:t>电导率是衡量食品中电解质含量的一种物理量，是饮用纯净水的一个重要指标，能反映出饮用纯净水中可溶性固形物的含量和电解质的存在，电导率检测值偏高通常意味着饮用纯净水可能含有较多的杂质。《瓶装饮用纯净水》（GB 17323—1998）中规定，饮用纯净水的电导率在（25±1）℃测试条件下应≤10μS/cm。饮用纯净水中电导率检验值超标的原因，可能是生产工艺存在问题；也可能是反渗透滤膜长久未更换；还可能是过滤设备清洗不到位。</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default" w:ascii="Times New Roman" w:hAnsi="Times New Roman" w:eastAsia="黑体" w:cs="Times New Roman"/>
          <w:snapToGrid w:val="0"/>
          <w:color w:val="000000"/>
          <w:spacing w:val="0"/>
          <w:sz w:val="32"/>
          <w:szCs w:val="32"/>
          <w:highlight w:val="none"/>
          <w:lang w:val="en-US" w:eastAsia="zh-CN"/>
        </w:rPr>
      </w:pPr>
      <w:r>
        <w:rPr>
          <w:rFonts w:hint="eastAsia" w:ascii="Times New Roman" w:hAnsi="Times New Roman" w:eastAsia="黑体" w:cs="Times New Roman"/>
          <w:snapToGrid w:val="0"/>
          <w:color w:val="000000"/>
          <w:spacing w:val="0"/>
          <w:sz w:val="32"/>
          <w:szCs w:val="32"/>
          <w:highlight w:val="none"/>
          <w:lang w:val="en-US" w:eastAsia="zh-CN"/>
        </w:rPr>
        <w:t>二十八</w:t>
      </w:r>
      <w:r>
        <w:rPr>
          <w:rFonts w:hint="default" w:ascii="Times New Roman" w:hAnsi="Times New Roman" w:eastAsia="黑体" w:cs="Times New Roman"/>
          <w:snapToGrid w:val="0"/>
          <w:color w:val="000000"/>
          <w:spacing w:val="0"/>
          <w:sz w:val="32"/>
          <w:szCs w:val="32"/>
          <w:highlight w:val="none"/>
          <w:lang w:val="en-US" w:eastAsia="zh-CN"/>
        </w:rPr>
        <w:t>、</w:t>
      </w:r>
      <w:r>
        <w:rPr>
          <w:rFonts w:hint="eastAsia" w:ascii="Times New Roman" w:hAnsi="Times New Roman" w:eastAsia="黑体" w:cs="Times New Roman"/>
          <w:snapToGrid w:val="0"/>
          <w:color w:val="000000"/>
          <w:spacing w:val="0"/>
          <w:sz w:val="32"/>
          <w:szCs w:val="32"/>
          <w:highlight w:val="none"/>
          <w:lang w:val="en-US" w:eastAsia="zh-CN"/>
        </w:rPr>
        <w:t>全氮（以氮计）</w:t>
      </w:r>
    </w:p>
    <w:p>
      <w:pPr>
        <w:topLinePunct w:val="0"/>
        <w:autoSpaceDE/>
        <w:autoSpaceDN/>
        <w:adjustRightInd w:val="0"/>
        <w:snapToGrid w:val="0"/>
        <w:spacing w:line="594" w:lineRule="exact"/>
        <w:ind w:firstLine="640" w:firstLineChars="200"/>
        <w:rPr>
          <w:rFonts w:hint="eastAsia" w:ascii="Times New Roman" w:hAnsi="Times New Roman" w:eastAsia="仿宋_GB2312" w:cs="仿宋_GB2312"/>
          <w:snapToGrid w:val="0"/>
          <w:color w:val="000000"/>
          <w:spacing w:val="0"/>
          <w:sz w:val="32"/>
          <w:szCs w:val="32"/>
          <w:highlight w:val="none"/>
          <w:lang w:val="en-US" w:eastAsia="zh-CN"/>
        </w:rPr>
      </w:pPr>
      <w:r>
        <w:rPr>
          <w:rFonts w:hint="eastAsia" w:ascii="Times New Roman" w:hAnsi="Times New Roman" w:eastAsia="仿宋_GB2312" w:cs="仿宋_GB2312"/>
          <w:snapToGrid w:val="0"/>
          <w:color w:val="000000"/>
          <w:sz w:val="32"/>
          <w:szCs w:val="32"/>
          <w:lang w:val="en-US" w:eastAsia="zh-CN"/>
        </w:rPr>
        <w:t>全氮是酱油的品质指标之一，反映了酱油中蛋白质、氨基酸、肽等含量的高低。全氮不合格主要影响产品的风味。《酿造酱油》（GB/T 18186—2000）中规定，三级高盐稀态发酵酱油全氮（以氮计）≥0.70g/100mL。酱油中全氮（以氮计）含量不达标的原因，可能是原料采购环节质量把关不严；也可能是企业生产工艺控制不严，如酿造周期未达要求；还可能是企业在生产过程中为降低成本而涉嫌掺假。</w:t>
      </w:r>
    </w:p>
    <w:p>
      <w:pPr>
        <w:topLinePunct w:val="0"/>
        <w:adjustRightInd w:val="0"/>
        <w:snapToGrid w:val="0"/>
        <w:spacing w:line="594" w:lineRule="exact"/>
        <w:ind w:firstLine="640" w:firstLineChars="200"/>
        <w:rPr>
          <w:rFonts w:hint="eastAsia" w:ascii="Times New Roman" w:hAnsi="Times New Roman" w:eastAsia="黑体" w:cs="Times New Roman"/>
          <w:snapToGrid w:val="0"/>
          <w:color w:val="000000"/>
          <w:spacing w:val="0"/>
          <w:sz w:val="32"/>
          <w:szCs w:val="32"/>
          <w:highlight w:val="none"/>
          <w:lang w:val="en-US" w:eastAsia="zh-CN"/>
        </w:rPr>
      </w:pPr>
      <w:r>
        <w:rPr>
          <w:rFonts w:hint="eastAsia" w:ascii="Times New Roman" w:hAnsi="Times New Roman" w:eastAsia="黑体" w:cs="Times New Roman"/>
          <w:snapToGrid w:val="0"/>
          <w:color w:val="000000"/>
          <w:spacing w:val="0"/>
          <w:sz w:val="32"/>
          <w:szCs w:val="32"/>
          <w:highlight w:val="none"/>
          <w:lang w:val="en-US" w:eastAsia="zh-CN"/>
        </w:rPr>
        <w:t>二十九</w:t>
      </w:r>
      <w:r>
        <w:rPr>
          <w:rFonts w:hint="default" w:ascii="Times New Roman" w:hAnsi="Times New Roman" w:eastAsia="黑体" w:cs="Times New Roman"/>
          <w:snapToGrid w:val="0"/>
          <w:color w:val="000000"/>
          <w:spacing w:val="0"/>
          <w:sz w:val="32"/>
          <w:szCs w:val="32"/>
          <w:highlight w:val="none"/>
        </w:rPr>
        <w:t>、</w:t>
      </w:r>
      <w:r>
        <w:rPr>
          <w:rFonts w:hint="eastAsia" w:ascii="Times New Roman" w:hAnsi="Times New Roman" w:eastAsia="黑体" w:cs="Times New Roman"/>
          <w:snapToGrid w:val="0"/>
          <w:color w:val="000000"/>
          <w:spacing w:val="0"/>
          <w:sz w:val="32"/>
          <w:szCs w:val="32"/>
          <w:highlight w:val="none"/>
          <w:lang w:val="en-US" w:eastAsia="zh-CN"/>
        </w:rPr>
        <w:t>不挥发酸（以乳酸计）</w:t>
      </w:r>
    </w:p>
    <w:p>
      <w:pPr>
        <w:pStyle w:val="13"/>
        <w:overflowPunct w:val="0"/>
        <w:autoSpaceDE/>
        <w:autoSpaceDN/>
        <w:snapToGrid w:val="0"/>
        <w:spacing w:line="594" w:lineRule="exact"/>
        <w:ind w:firstLine="640" w:firstLineChars="200"/>
        <w:jc w:val="both"/>
        <w:rPr>
          <w:rFonts w:hint="eastAsia" w:ascii="Times New Roman" w:hAnsi="Times New Roman" w:eastAsia="仿宋_GB2312" w:cs="仿宋_GB2312"/>
          <w:snapToGrid w:val="0"/>
          <w:color w:val="000000"/>
          <w:kern w:val="2"/>
          <w:sz w:val="32"/>
          <w:szCs w:val="32"/>
          <w:highlight w:val="none"/>
          <w:lang w:eastAsia="zh-CN"/>
        </w:rPr>
      </w:pPr>
      <w:r>
        <w:rPr>
          <w:rFonts w:hint="eastAsia" w:ascii="Times New Roman" w:hAnsi="Times New Roman" w:eastAsia="仿宋_GB2312" w:cs="仿宋_GB2312"/>
          <w:snapToGrid w:val="0"/>
          <w:color w:val="000000"/>
          <w:kern w:val="2"/>
          <w:sz w:val="32"/>
          <w:szCs w:val="32"/>
          <w:highlight w:val="none"/>
          <w:lang w:val="en-US" w:eastAsia="zh-CN"/>
        </w:rPr>
        <w:t>不挥发酸（以乳酸计）是食醋中总酸的一种，以乳酸为主。不挥发酸（以乳酸计）不合格主要影响产品的品质。《酿造食醋》（GB/T 18187—2000）中规定，固态发酵食醋中不挥发酸（以乳酸计）含量应≥0.50g/100mL。食醋中不挥发酸（以乳酸计）含量不达标的原因，可能是生产加工过程中发酵工艺控制不当。</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textAlignment w:val="auto"/>
        <w:rPr>
          <w:rFonts w:hint="default" w:ascii="Times New Roman" w:hAnsi="Times New Roman" w:eastAsia="黑体" w:cs="Times New Roman"/>
          <w:snapToGrid w:val="0"/>
          <w:color w:val="000000"/>
          <w:spacing w:val="0"/>
          <w:sz w:val="32"/>
          <w:szCs w:val="32"/>
          <w:lang w:val="en-US" w:eastAsia="zh-CN"/>
        </w:rPr>
      </w:pPr>
      <w:r>
        <w:rPr>
          <w:rFonts w:hint="eastAsia" w:ascii="Times New Roman" w:hAnsi="Times New Roman" w:eastAsia="黑体" w:cs="黑体"/>
          <w:snapToGrid w:val="0"/>
          <w:color w:val="000000"/>
          <w:kern w:val="2"/>
          <w:sz w:val="32"/>
          <w:szCs w:val="32"/>
          <w:highlight w:val="none"/>
          <w:lang w:val="en-US" w:eastAsia="zh-CN" w:bidi="ar-SA"/>
        </w:rPr>
        <w:t>三十、</w:t>
      </w:r>
      <w:r>
        <w:rPr>
          <w:rFonts w:hint="default" w:ascii="Times New Roman" w:hAnsi="Times New Roman" w:eastAsia="黑体" w:cs="Times New Roman"/>
          <w:snapToGrid w:val="0"/>
          <w:color w:val="000000"/>
          <w:spacing w:val="0"/>
          <w:sz w:val="32"/>
          <w:szCs w:val="32"/>
          <w:lang w:val="en-US" w:eastAsia="zh-CN"/>
        </w:rPr>
        <w:t>维生素A</w:t>
      </w:r>
    </w:p>
    <w:p>
      <w:pPr>
        <w:pStyle w:val="2"/>
        <w:topLinePunct w:val="0"/>
        <w:adjustRightInd w:val="0"/>
        <w:snapToGrid w:val="0"/>
        <w:spacing w:after="0" w:line="594" w:lineRule="exact"/>
        <w:ind w:left="0" w:leftChars="0" w:firstLine="0"/>
        <w:rPr>
          <w:rFonts w:hint="eastAsia" w:ascii="Times New Roman" w:hAnsi="Times New Roman" w:eastAsia="仿宋_GB2312" w:cs="仿宋_GB2312"/>
          <w:snapToGrid w:val="0"/>
          <w:color w:val="000000"/>
          <w:sz w:val="32"/>
          <w:szCs w:val="32"/>
          <w:highlight w:val="none"/>
          <w:lang w:val="en-US" w:eastAsia="zh-CN"/>
        </w:rPr>
      </w:pPr>
      <w:r>
        <w:rPr>
          <w:rFonts w:hint="eastAsia" w:ascii="Times New Roman" w:hAnsi="Times New Roman" w:eastAsia="仿宋_GB2312" w:cs="仿宋_GB2312"/>
          <w:snapToGrid w:val="0"/>
          <w:color w:val="000000"/>
          <w:kern w:val="2"/>
          <w:sz w:val="32"/>
          <w:szCs w:val="32"/>
          <w:lang w:val="en-US" w:eastAsia="zh-CN" w:bidi="ar-SA"/>
        </w:rPr>
        <w:t>维生素A是一种脂溶性维生素，在人体代谢过程中发挥重要作用。《食品安全国家标准 运动营养食品通则》（GB 24154—2015）中规定，运动营养食品中维生素A含量（以每日计）应在120—375μg范围内；《食品安全国家标准 预包装特殊膳食用食品标签》（GB 13432—2013）中规定，在产品保质期内，能量和营养成分的实际含量不应低于标示值的80%。运动营养食品中维生素A含量不达标的原因，可能是原辅料用食品营养强化剂不符合质量要求；也可能是生产加工过程中搅拌不均匀；还可能是在加工或储存过程中损失。</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textAlignment w:val="auto"/>
        <w:rPr>
          <w:rFonts w:hint="eastAsia" w:ascii="Times New Roman" w:hAnsi="Times New Roman" w:eastAsia="仿宋_GB2312" w:cs="仿宋_GB2312"/>
          <w:snapToGrid w:val="0"/>
          <w:color w:val="000000"/>
          <w:sz w:val="32"/>
          <w:szCs w:val="32"/>
          <w:lang w:val="en-US" w:eastAsia="zh-CN"/>
        </w:rPr>
      </w:pPr>
      <w:r>
        <w:rPr>
          <w:rFonts w:hint="eastAsia" w:ascii="Times New Roman" w:hAnsi="Times New Roman" w:eastAsia="仿宋_GB2312" w:cs="仿宋_GB2312"/>
          <w:snapToGrid w:val="0"/>
          <w:color w:val="000000"/>
          <w:sz w:val="32"/>
          <w:szCs w:val="32"/>
          <w:highlight w:val="none"/>
          <w:lang w:val="en-US" w:eastAsia="zh-CN"/>
        </w:rPr>
        <w:t>三十一</w:t>
      </w:r>
      <w:r>
        <w:rPr>
          <w:rFonts w:hint="eastAsia" w:ascii="Times New Roman" w:hAnsi="Times New Roman" w:eastAsia="仿宋_GB2312" w:cs="仿宋_GB2312"/>
          <w:snapToGrid w:val="0"/>
          <w:color w:val="000000"/>
          <w:sz w:val="32"/>
          <w:szCs w:val="32"/>
          <w:highlight w:val="none"/>
          <w:lang w:eastAsia="zh-CN"/>
        </w:rPr>
        <w:t>、</w:t>
      </w:r>
      <w:r>
        <w:rPr>
          <w:rFonts w:hint="eastAsia" w:ascii="Times New Roman" w:hAnsi="Times New Roman" w:eastAsia="仿宋_GB2312" w:cs="仿宋_GB2312"/>
          <w:snapToGrid w:val="0"/>
          <w:color w:val="000000"/>
          <w:spacing w:val="0"/>
          <w:sz w:val="32"/>
          <w:szCs w:val="32"/>
          <w:lang w:val="en-US" w:eastAsia="zh-CN"/>
        </w:rPr>
        <w:t>维生素C</w:t>
      </w:r>
    </w:p>
    <w:p>
      <w:pPr>
        <w:pStyle w:val="2"/>
        <w:topLinePunct w:val="0"/>
        <w:adjustRightInd w:val="0"/>
        <w:snapToGrid w:val="0"/>
        <w:spacing w:after="0" w:line="594" w:lineRule="exact"/>
        <w:ind w:left="0" w:leftChars="0" w:firstLine="640" w:firstLineChars="200"/>
        <w:rPr>
          <w:rFonts w:hint="eastAsia" w:ascii="Times New Roman" w:hAnsi="Times New Roman" w:eastAsia="仿宋_GB2312" w:cs="仿宋_GB2312"/>
          <w:snapToGrid w:val="0"/>
          <w:color w:val="000000"/>
          <w:spacing w:val="0"/>
          <w:sz w:val="32"/>
          <w:szCs w:val="32"/>
          <w:highlight w:val="none"/>
          <w:lang w:eastAsia="zh-CN"/>
        </w:rPr>
      </w:pPr>
      <w:r>
        <w:rPr>
          <w:rFonts w:hint="eastAsia" w:ascii="Times New Roman" w:hAnsi="Times New Roman" w:eastAsia="仿宋_GB2312" w:cs="仿宋_GB2312"/>
          <w:snapToGrid w:val="0"/>
          <w:color w:val="000000"/>
          <w:sz w:val="32"/>
          <w:szCs w:val="32"/>
          <w:lang w:val="en-US" w:eastAsia="zh-CN"/>
        </w:rPr>
        <w:t>维生素C是一种水溶性维生素，在人体代谢过程中发挥重要作用。《食品安全国家标准 运动营养食品通则》（GB 24154—2015）中规定，运动营养食品中维生素C含量（以每日计）应在15—100mg范围内；《食品安全国家标准 预包装特殊膳食用食品标签》（GB 13432—2013）中规定，在产品保质期内，能量和营养成分的实际含量不应低于标示值的80%。运动营养食品中维生素C含量不达标的原因，可能是原辅料用食品营养强化剂不符合质量要求；也可能是生产加工过程中搅拌不均匀；还可能是在加工或储存过程中损失。</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textAlignment w:val="auto"/>
        <w:rPr>
          <w:rFonts w:hint="default" w:ascii="Times New Roman" w:hAnsi="Times New Roman" w:eastAsia="黑体" w:cs="Times New Roman"/>
          <w:snapToGrid w:val="0"/>
          <w:color w:val="000000"/>
          <w:spacing w:val="0"/>
          <w:sz w:val="32"/>
          <w:szCs w:val="32"/>
          <w:lang w:val="en-US" w:eastAsia="zh-CN"/>
        </w:rPr>
      </w:pPr>
      <w:r>
        <w:rPr>
          <w:rFonts w:hint="eastAsia" w:ascii="Times New Roman" w:hAnsi="Times New Roman" w:eastAsia="黑体" w:cs="Times New Roman"/>
          <w:snapToGrid w:val="0"/>
          <w:color w:val="000000"/>
          <w:spacing w:val="0"/>
          <w:sz w:val="32"/>
          <w:szCs w:val="32"/>
          <w:highlight w:val="none"/>
          <w:lang w:val="en-US" w:eastAsia="zh-CN"/>
        </w:rPr>
        <w:t>三十二</w:t>
      </w:r>
      <w:r>
        <w:rPr>
          <w:rFonts w:hint="default" w:ascii="Times New Roman" w:hAnsi="Times New Roman" w:eastAsia="黑体" w:cs="Times New Roman"/>
          <w:snapToGrid w:val="0"/>
          <w:color w:val="000000"/>
          <w:spacing w:val="0"/>
          <w:sz w:val="32"/>
          <w:szCs w:val="32"/>
          <w:highlight w:val="none"/>
        </w:rPr>
        <w:t>、</w:t>
      </w:r>
      <w:r>
        <w:rPr>
          <w:rFonts w:hint="default" w:ascii="Times New Roman" w:hAnsi="Times New Roman" w:eastAsia="黑体" w:cs="Times New Roman"/>
          <w:snapToGrid w:val="0"/>
          <w:color w:val="000000"/>
          <w:spacing w:val="0"/>
          <w:sz w:val="32"/>
          <w:szCs w:val="32"/>
          <w:lang w:val="en-US" w:eastAsia="zh-CN"/>
        </w:rPr>
        <w:t>维生素D</w:t>
      </w:r>
    </w:p>
    <w:p>
      <w:pPr>
        <w:topLinePunct w:val="0"/>
        <w:adjustRightInd w:val="0"/>
        <w:snapToGrid w:val="0"/>
        <w:spacing w:line="614" w:lineRule="exact"/>
        <w:ind w:firstLine="640" w:firstLineChars="200"/>
        <w:rPr>
          <w:rFonts w:hint="eastAsia" w:ascii="Times New Roman" w:hAnsi="Times New Roman" w:eastAsia="仿宋_GB2312" w:cs="仿宋_GB2312"/>
          <w:snapToGrid w:val="0"/>
          <w:color w:val="000000"/>
          <w:sz w:val="32"/>
          <w:szCs w:val="32"/>
          <w:highlight w:val="none"/>
          <w:lang w:val="en-US" w:eastAsia="zh-CN"/>
        </w:rPr>
      </w:pPr>
      <w:r>
        <w:rPr>
          <w:rFonts w:hint="eastAsia" w:ascii="Times New Roman" w:hAnsi="Times New Roman" w:eastAsia="仿宋_GB2312" w:cs="仿宋_GB2312"/>
          <w:snapToGrid w:val="0"/>
          <w:color w:val="000000"/>
          <w:kern w:val="2"/>
          <w:sz w:val="32"/>
          <w:szCs w:val="32"/>
          <w:lang w:val="en-US" w:eastAsia="zh-CN" w:bidi="ar-SA"/>
        </w:rPr>
        <w:t>维生素D是一种脂溶性维生素，可以维持血浆钙和磷的水平稳定，满足骨骼矿物质化、肌肉收缩、神经传导及细胞的基本功能。《食品安全国家标准 运动营养食品通则》（GB 24154—2015）中规定，运动营养食品中维生素D含量（以每日计）应在1.5—10μg范围内；《食品安全国家标准 预包装特殊膳食用食品标签》（GB 13432—2013）中规定，在产品保质期内，能量和营养成分的实际含量不应低于标示值的80%。运动营养食品中维生素D含量不达标的原因，可能是原辅料用食品营养强化剂不符合质量要求；也可能是生产加工过程中搅拌不均匀，还可能是在加工或储存过程中损失。</w:t>
      </w:r>
    </w:p>
    <w:p>
      <w:pPr>
        <w:keepNext w:val="0"/>
        <w:keepLines w:val="0"/>
        <w:pageBreakBefore w:val="0"/>
        <w:widowControl w:val="0"/>
        <w:kinsoku/>
        <w:wordWrap/>
        <w:overflowPunct w:val="0"/>
        <w:topLinePunct w:val="0"/>
        <w:autoSpaceDE/>
        <w:autoSpaceDN/>
        <w:bidi w:val="0"/>
        <w:adjustRightInd w:val="0"/>
        <w:snapToGrid w:val="0"/>
        <w:spacing w:line="614" w:lineRule="exact"/>
        <w:ind w:firstLine="640" w:firstLineChars="200"/>
        <w:jc w:val="both"/>
        <w:textAlignment w:val="auto"/>
        <w:rPr>
          <w:rFonts w:hint="default" w:ascii="Times New Roman" w:hAnsi="Times New Roman" w:eastAsia="黑体" w:cs="Times New Roman"/>
          <w:snapToGrid w:val="0"/>
          <w:color w:val="000000"/>
          <w:sz w:val="32"/>
          <w:szCs w:val="32"/>
          <w:lang w:val="en-US" w:eastAsia="zh-CN"/>
        </w:rPr>
      </w:pPr>
      <w:r>
        <w:rPr>
          <w:rFonts w:hint="eastAsia" w:eastAsia="黑体"/>
          <w:snapToGrid w:val="0"/>
          <w:color w:val="000000"/>
          <w:spacing w:val="0"/>
          <w:sz w:val="32"/>
          <w:szCs w:val="32"/>
          <w:lang w:val="en-US" w:eastAsia="zh-CN"/>
        </w:rPr>
        <w:t>三十三、</w:t>
      </w:r>
      <w:r>
        <w:rPr>
          <w:rFonts w:hint="default" w:ascii="Times New Roman" w:hAnsi="Times New Roman" w:eastAsia="黑体" w:cs="Times New Roman"/>
          <w:snapToGrid w:val="0"/>
          <w:color w:val="000000"/>
          <w:spacing w:val="0"/>
          <w:sz w:val="32"/>
          <w:szCs w:val="32"/>
          <w:lang w:val="en-US" w:eastAsia="zh-CN"/>
        </w:rPr>
        <w:t>钙</w:t>
      </w:r>
    </w:p>
    <w:p>
      <w:pPr>
        <w:keepNext w:val="0"/>
        <w:keepLines w:val="0"/>
        <w:pageBreakBefore w:val="0"/>
        <w:widowControl w:val="0"/>
        <w:kinsoku/>
        <w:wordWrap/>
        <w:overflowPunct w:val="0"/>
        <w:topLinePunct w:val="0"/>
        <w:autoSpaceDE/>
        <w:autoSpaceDN/>
        <w:bidi w:val="0"/>
        <w:adjustRightInd w:val="0"/>
        <w:snapToGrid w:val="0"/>
        <w:spacing w:line="614" w:lineRule="exact"/>
        <w:ind w:firstLine="640" w:firstLineChars="200"/>
        <w:jc w:val="both"/>
        <w:textAlignment w:val="auto"/>
        <w:rPr>
          <w:rFonts w:hint="eastAsia" w:ascii="Times New Roman" w:hAnsi="Times New Roman" w:eastAsia="仿宋_GB2312" w:cs="仿宋_GB2312"/>
          <w:snapToGrid w:val="0"/>
          <w:color w:val="000000"/>
          <w:sz w:val="32"/>
          <w:szCs w:val="32"/>
          <w:lang w:val="en-US" w:eastAsia="zh-CN"/>
        </w:rPr>
      </w:pPr>
      <w:r>
        <w:rPr>
          <w:rFonts w:hint="eastAsia" w:ascii="Times New Roman" w:hAnsi="Times New Roman" w:eastAsia="仿宋_GB2312" w:cs="仿宋_GB2312"/>
          <w:snapToGrid w:val="0"/>
          <w:color w:val="000000"/>
          <w:sz w:val="32"/>
          <w:szCs w:val="32"/>
          <w:lang w:val="en-US" w:eastAsia="zh-CN"/>
        </w:rPr>
        <w:t>钙是人体含量最多的矿物质元素，可维持人体神经和肌肉活动、促进细胞信息传递。《食品安全国家标准 运动营养食品通则》（GB 24154—2015）中规定，运动营养食品中钙含量（以每日计）应在150—800mg范围内；《食品安全国家标准 预包装特殊膳食用食品标签》（GB 13432—2013）中规定，在产品保质期内，能量和营养成分的实际含量不应低于标示值的80%。运动营养食品中钙含量不达标的原因，可能是原辅料用食品营养强化剂不符合质量要求；也可能是生产加工过程中搅拌不均匀。</w:t>
      </w:r>
    </w:p>
    <w:p>
      <w:pPr>
        <w:pStyle w:val="2"/>
        <w:keepNext w:val="0"/>
        <w:keepLines w:val="0"/>
        <w:pageBreakBefore w:val="0"/>
        <w:widowControl w:val="0"/>
        <w:kinsoku/>
        <w:wordWrap/>
        <w:overflowPunct w:val="0"/>
        <w:topLinePunct w:val="0"/>
        <w:autoSpaceDE/>
        <w:autoSpaceDN/>
        <w:bidi w:val="0"/>
        <w:adjustRightInd w:val="0"/>
        <w:snapToGrid w:val="0"/>
        <w:spacing w:after="0" w:line="614" w:lineRule="exact"/>
        <w:ind w:left="0" w:leftChars="0" w:firstLine="640" w:firstLineChars="200"/>
        <w:jc w:val="both"/>
        <w:textAlignment w:val="auto"/>
        <w:rPr>
          <w:rFonts w:hint="default" w:ascii="Times New Roman" w:hAnsi="Times New Roman" w:eastAsia="黑体" w:cs="Times New Roman"/>
          <w:snapToGrid w:val="0"/>
          <w:color w:val="000000"/>
          <w:spacing w:val="0"/>
          <w:sz w:val="32"/>
          <w:szCs w:val="32"/>
          <w:lang w:val="en-US" w:eastAsia="zh-CN"/>
        </w:rPr>
      </w:pPr>
      <w:r>
        <w:rPr>
          <w:rFonts w:hint="eastAsia" w:ascii="Times New Roman" w:hAnsi="Times New Roman" w:eastAsia="黑体" w:cs="Times New Roman"/>
          <w:snapToGrid w:val="0"/>
          <w:color w:val="000000"/>
          <w:spacing w:val="0"/>
          <w:sz w:val="32"/>
          <w:szCs w:val="32"/>
          <w:lang w:val="en-US" w:eastAsia="zh-CN"/>
        </w:rPr>
        <w:t>三十四、</w:t>
      </w:r>
      <w:r>
        <w:rPr>
          <w:rFonts w:hint="default" w:ascii="Times New Roman" w:hAnsi="Times New Roman" w:eastAsia="黑体" w:cs="Times New Roman"/>
          <w:snapToGrid w:val="0"/>
          <w:color w:val="000000"/>
          <w:spacing w:val="0"/>
          <w:sz w:val="32"/>
          <w:szCs w:val="32"/>
          <w:lang w:val="en-US" w:eastAsia="zh-CN"/>
        </w:rPr>
        <w:t>锌</w:t>
      </w:r>
    </w:p>
    <w:p>
      <w:pPr>
        <w:pStyle w:val="2"/>
        <w:keepNext w:val="0"/>
        <w:keepLines w:val="0"/>
        <w:pageBreakBefore w:val="0"/>
        <w:widowControl w:val="0"/>
        <w:kinsoku/>
        <w:wordWrap/>
        <w:overflowPunct w:val="0"/>
        <w:topLinePunct w:val="0"/>
        <w:autoSpaceDE/>
        <w:autoSpaceDN/>
        <w:bidi w:val="0"/>
        <w:adjustRightInd w:val="0"/>
        <w:snapToGrid w:val="0"/>
        <w:spacing w:after="0" w:line="614" w:lineRule="exact"/>
        <w:ind w:left="0" w:leftChars="0" w:firstLine="640" w:firstLineChars="200"/>
        <w:jc w:val="both"/>
        <w:textAlignment w:val="auto"/>
        <w:rPr>
          <w:rFonts w:hint="eastAsia" w:ascii="Times New Roman" w:hAnsi="Times New Roman" w:eastAsia="仿宋_GB2312" w:cs="仿宋_GB2312"/>
          <w:snapToGrid w:val="0"/>
          <w:color w:val="000000"/>
          <w:sz w:val="32"/>
          <w:szCs w:val="32"/>
        </w:rPr>
      </w:pPr>
      <w:r>
        <w:rPr>
          <w:rFonts w:hint="eastAsia" w:ascii="Times New Roman" w:hAnsi="Times New Roman" w:eastAsia="仿宋_GB2312" w:cs="仿宋_GB2312"/>
          <w:snapToGrid w:val="0"/>
          <w:color w:val="000000"/>
          <w:sz w:val="32"/>
          <w:szCs w:val="32"/>
          <w:lang w:val="en-US" w:eastAsia="zh-CN"/>
        </w:rPr>
        <w:t>锌</w:t>
      </w:r>
      <w:r>
        <w:rPr>
          <w:rFonts w:hint="eastAsia" w:ascii="Times New Roman" w:hAnsi="Times New Roman" w:eastAsia="仿宋_GB2312" w:cs="仿宋_GB2312"/>
          <w:snapToGrid w:val="0"/>
          <w:color w:val="000000"/>
          <w:sz w:val="32"/>
          <w:szCs w:val="32"/>
        </w:rPr>
        <w:t>是人体</w:t>
      </w:r>
      <w:r>
        <w:rPr>
          <w:rFonts w:hint="eastAsia" w:ascii="Times New Roman" w:hAnsi="Times New Roman" w:eastAsia="仿宋_GB2312" w:cs="仿宋_GB2312"/>
          <w:snapToGrid w:val="0"/>
          <w:color w:val="000000"/>
          <w:sz w:val="32"/>
          <w:szCs w:val="32"/>
          <w:lang w:val="en-US" w:eastAsia="zh-CN"/>
        </w:rPr>
        <w:t>必需</w:t>
      </w:r>
      <w:r>
        <w:rPr>
          <w:rFonts w:hint="eastAsia" w:ascii="Times New Roman" w:hAnsi="Times New Roman" w:eastAsia="仿宋_GB2312" w:cs="仿宋_GB2312"/>
          <w:snapToGrid w:val="0"/>
          <w:color w:val="000000"/>
          <w:sz w:val="32"/>
          <w:szCs w:val="32"/>
        </w:rPr>
        <w:t>的微量</w:t>
      </w:r>
      <w:r>
        <w:rPr>
          <w:rFonts w:hint="eastAsia" w:ascii="Times New Roman" w:hAnsi="Times New Roman" w:eastAsia="仿宋_GB2312" w:cs="仿宋_GB2312"/>
          <w:snapToGrid w:val="0"/>
          <w:color w:val="000000"/>
          <w:sz w:val="32"/>
          <w:szCs w:val="32"/>
          <w:lang w:val="en-US" w:eastAsia="zh-CN"/>
        </w:rPr>
        <w:t>元素，对生长发育、免疫功能、物质代谢等均有重要作用</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lang w:val="en-US" w:eastAsia="zh-CN"/>
        </w:rPr>
        <w:t>《食品安全国家标准 运动营养食品通则》（GB 24154—2015）中规定，运动营养食品中锌含量（以每日计）应在1.7—12mg范围内；</w:t>
      </w:r>
      <w:r>
        <w:rPr>
          <w:rFonts w:hint="eastAsia" w:ascii="Times New Roman" w:hAnsi="Times New Roman" w:eastAsia="仿宋_GB2312" w:cs="仿宋_GB2312"/>
          <w:snapToGrid w:val="0"/>
          <w:color w:val="000000"/>
          <w:sz w:val="32"/>
          <w:szCs w:val="32"/>
        </w:rPr>
        <w:t>《食品安全国家标准 预包装特殊膳食用食品标签》（GB 13432</w:t>
      </w:r>
      <w:r>
        <w:rPr>
          <w:rFonts w:hint="eastAsia" w:ascii="Times New Roman" w:hAnsi="Times New Roman" w:eastAsia="仿宋_GB2312" w:cs="仿宋_GB2312"/>
          <w:snapToGrid w:val="0"/>
          <w:color w:val="000000"/>
          <w:sz w:val="32"/>
          <w:szCs w:val="32"/>
          <w:lang w:val="en-US" w:eastAsia="zh-CN"/>
        </w:rPr>
        <w:t>—</w:t>
      </w:r>
      <w:r>
        <w:rPr>
          <w:rFonts w:hint="eastAsia" w:ascii="Times New Roman" w:hAnsi="Times New Roman" w:eastAsia="仿宋_GB2312" w:cs="仿宋_GB2312"/>
          <w:snapToGrid w:val="0"/>
          <w:color w:val="000000"/>
          <w:sz w:val="32"/>
          <w:szCs w:val="32"/>
        </w:rPr>
        <w:t>2013）中规定，在产品保质期内，能量和营养成分的实际含量不应低于标示值的80%。</w:t>
      </w:r>
      <w:r>
        <w:rPr>
          <w:rFonts w:hint="eastAsia" w:ascii="Times New Roman" w:hAnsi="Times New Roman" w:eastAsia="仿宋_GB2312" w:cs="仿宋_GB2312"/>
          <w:snapToGrid w:val="0"/>
          <w:color w:val="000000"/>
          <w:sz w:val="32"/>
          <w:szCs w:val="32"/>
          <w:lang w:val="en-US" w:eastAsia="zh-CN"/>
        </w:rPr>
        <w:t>运动营养食品中锌含量不达标的原因，</w:t>
      </w:r>
      <w:r>
        <w:rPr>
          <w:rFonts w:hint="eastAsia" w:ascii="Times New Roman" w:hAnsi="Times New Roman" w:eastAsia="仿宋_GB2312" w:cs="仿宋_GB2312"/>
          <w:snapToGrid w:val="0"/>
          <w:color w:val="000000"/>
          <w:sz w:val="32"/>
          <w:szCs w:val="32"/>
        </w:rPr>
        <w:t>可能是原辅料用食品营养强化剂不</w:t>
      </w:r>
      <w:r>
        <w:rPr>
          <w:rFonts w:hint="eastAsia" w:ascii="Times New Roman" w:hAnsi="Times New Roman" w:eastAsia="仿宋_GB2312" w:cs="仿宋_GB2312"/>
          <w:snapToGrid w:val="0"/>
          <w:color w:val="000000"/>
          <w:sz w:val="32"/>
          <w:szCs w:val="32"/>
          <w:lang w:eastAsia="zh-CN"/>
        </w:rPr>
        <w:t>符合</w:t>
      </w:r>
      <w:r>
        <w:rPr>
          <w:rFonts w:hint="eastAsia" w:ascii="Times New Roman" w:hAnsi="Times New Roman" w:eastAsia="仿宋_GB2312" w:cs="仿宋_GB2312"/>
          <w:snapToGrid w:val="0"/>
          <w:color w:val="000000"/>
          <w:sz w:val="32"/>
          <w:szCs w:val="32"/>
        </w:rPr>
        <w:t>质量要求</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lang w:val="en-US" w:eastAsia="zh-CN"/>
        </w:rPr>
        <w:t>也可能是</w:t>
      </w:r>
      <w:r>
        <w:rPr>
          <w:rFonts w:hint="eastAsia" w:ascii="Times New Roman" w:hAnsi="Times New Roman" w:eastAsia="仿宋_GB2312" w:cs="仿宋_GB2312"/>
          <w:snapToGrid w:val="0"/>
          <w:color w:val="000000"/>
          <w:sz w:val="32"/>
          <w:szCs w:val="32"/>
        </w:rPr>
        <w:t>生产加工过程中搅拌不均匀。</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textAlignment w:val="auto"/>
        <w:rPr>
          <w:rFonts w:hint="default" w:ascii="Times New Roman" w:hAnsi="Times New Roman" w:eastAsia="黑体" w:cs="Times New Roman"/>
          <w:snapToGrid w:val="0"/>
          <w:color w:val="000000"/>
          <w:spacing w:val="0"/>
          <w:sz w:val="32"/>
          <w:szCs w:val="32"/>
          <w:lang w:val="en-US" w:eastAsia="zh-CN"/>
        </w:rPr>
      </w:pPr>
      <w:r>
        <w:rPr>
          <w:rFonts w:hint="eastAsia" w:ascii="Times New Roman" w:hAnsi="Times New Roman" w:eastAsia="黑体" w:cs="Times New Roman"/>
          <w:snapToGrid w:val="0"/>
          <w:color w:val="000000"/>
          <w:spacing w:val="0"/>
          <w:sz w:val="32"/>
          <w:szCs w:val="32"/>
          <w:lang w:val="en-US" w:eastAsia="zh-CN"/>
        </w:rPr>
        <w:t>三十五</w:t>
      </w:r>
      <w:r>
        <w:rPr>
          <w:rFonts w:hint="default" w:ascii="Times New Roman" w:hAnsi="Times New Roman" w:eastAsia="黑体" w:cs="Times New Roman"/>
          <w:snapToGrid w:val="0"/>
          <w:color w:val="000000"/>
          <w:spacing w:val="0"/>
          <w:sz w:val="32"/>
          <w:szCs w:val="32"/>
          <w:lang w:val="en-US" w:eastAsia="zh-CN"/>
        </w:rPr>
        <w:t>、维生素B</w:t>
      </w:r>
      <w:r>
        <w:rPr>
          <w:rFonts w:hint="default" w:ascii="Times New Roman" w:hAnsi="Times New Roman" w:eastAsia="黑体" w:cs="Times New Roman"/>
          <w:snapToGrid w:val="0"/>
          <w:color w:val="000000"/>
          <w:spacing w:val="0"/>
          <w:sz w:val="32"/>
          <w:szCs w:val="32"/>
          <w:vertAlign w:val="subscript"/>
          <w:lang w:val="en-US" w:eastAsia="zh-CN"/>
        </w:rPr>
        <w:t>1</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kern w:val="2"/>
          <w:sz w:val="32"/>
          <w:szCs w:val="32"/>
          <w:lang w:val="en-US" w:eastAsia="zh-CN" w:bidi="ar-SA"/>
        </w:rPr>
      </w:pPr>
      <w:r>
        <w:rPr>
          <w:rFonts w:hint="eastAsia" w:ascii="Times New Roman" w:hAnsi="Times New Roman" w:eastAsia="仿宋_GB2312" w:cs="仿宋_GB2312"/>
          <w:snapToGrid w:val="0"/>
          <w:color w:val="000000"/>
          <w:kern w:val="2"/>
          <w:sz w:val="32"/>
          <w:szCs w:val="32"/>
          <w:lang w:val="en-US" w:eastAsia="zh-CN" w:bidi="ar-SA"/>
        </w:rPr>
        <w:t>维生素B</w:t>
      </w:r>
      <w:r>
        <w:rPr>
          <w:rFonts w:hint="eastAsia" w:ascii="Times New Roman" w:hAnsi="Times New Roman" w:eastAsia="仿宋_GB2312" w:cs="仿宋_GB2312"/>
          <w:snapToGrid w:val="0"/>
          <w:color w:val="000000"/>
          <w:kern w:val="2"/>
          <w:sz w:val="32"/>
          <w:szCs w:val="32"/>
          <w:vertAlign w:val="subscript"/>
          <w:lang w:val="en-US" w:eastAsia="zh-CN" w:bidi="ar-SA"/>
        </w:rPr>
        <w:t>1</w:t>
      </w:r>
      <w:r>
        <w:rPr>
          <w:rFonts w:hint="eastAsia" w:ascii="Times New Roman" w:hAnsi="Times New Roman" w:eastAsia="仿宋_GB2312" w:cs="仿宋_GB2312"/>
          <w:snapToGrid w:val="0"/>
          <w:color w:val="000000"/>
          <w:kern w:val="2"/>
          <w:sz w:val="32"/>
          <w:szCs w:val="32"/>
          <w:lang w:val="en-US" w:eastAsia="zh-CN" w:bidi="ar-SA"/>
        </w:rPr>
        <w:t>是一种水溶性维生素，能够参与人体内能量代谢，</w:t>
      </w:r>
      <w:r>
        <w:rPr>
          <w:rFonts w:hint="eastAsia" w:ascii="Times New Roman" w:hAnsi="Times New Roman" w:eastAsia="仿宋_GB2312" w:cs="仿宋_GB2312"/>
          <w:snapToGrid w:val="0"/>
          <w:color w:val="000000"/>
          <w:kern w:val="2"/>
          <w:sz w:val="32"/>
          <w:szCs w:val="32"/>
          <w:highlight w:val="none"/>
          <w:lang w:val="en-US" w:eastAsia="zh-CN" w:bidi="ar-SA"/>
        </w:rPr>
        <w:t>对维持神经、肌肉特别是心肌正常功能方面有重要作用。</w:t>
      </w:r>
      <w:r>
        <w:rPr>
          <w:rFonts w:hint="eastAsia" w:ascii="Times New Roman" w:hAnsi="Times New Roman" w:eastAsia="仿宋_GB2312" w:cs="仿宋_GB2312"/>
          <w:snapToGrid w:val="0"/>
          <w:color w:val="000000"/>
          <w:sz w:val="32"/>
          <w:szCs w:val="32"/>
          <w:lang w:val="en-US" w:eastAsia="zh-CN"/>
        </w:rPr>
        <w:t>《食品安全国家标准 运动营养食品通则》（GB 24154—2015）中规定，运动营养食品中维生素B</w:t>
      </w:r>
      <w:r>
        <w:rPr>
          <w:rFonts w:hint="eastAsia" w:ascii="Times New Roman" w:hAnsi="Times New Roman" w:eastAsia="仿宋_GB2312" w:cs="仿宋_GB2312"/>
          <w:snapToGrid w:val="0"/>
          <w:color w:val="000000"/>
          <w:sz w:val="32"/>
          <w:szCs w:val="32"/>
          <w:vertAlign w:val="subscript"/>
          <w:lang w:val="en-US" w:eastAsia="zh-CN"/>
        </w:rPr>
        <w:t>1</w:t>
      </w:r>
      <w:r>
        <w:rPr>
          <w:rFonts w:hint="eastAsia" w:ascii="Times New Roman" w:hAnsi="Times New Roman" w:eastAsia="仿宋_GB2312" w:cs="仿宋_GB2312"/>
          <w:snapToGrid w:val="0"/>
          <w:color w:val="000000"/>
          <w:sz w:val="32"/>
          <w:szCs w:val="32"/>
          <w:lang w:val="en-US" w:eastAsia="zh-CN"/>
        </w:rPr>
        <w:t>含量（以每日计）应在0.2—4mg范围内；</w:t>
      </w:r>
      <w:r>
        <w:rPr>
          <w:rFonts w:hint="eastAsia" w:ascii="Times New Roman" w:hAnsi="Times New Roman" w:eastAsia="仿宋_GB2312" w:cs="仿宋_GB2312"/>
          <w:snapToGrid w:val="0"/>
          <w:color w:val="000000"/>
          <w:sz w:val="32"/>
          <w:szCs w:val="32"/>
        </w:rPr>
        <w:t>《食品安全国家标准 预包装特殊膳食用食品标签》（GB 13432</w:t>
      </w:r>
      <w:r>
        <w:rPr>
          <w:rFonts w:hint="eastAsia" w:ascii="Times New Roman" w:hAnsi="Times New Roman" w:eastAsia="仿宋_GB2312" w:cs="仿宋_GB2312"/>
          <w:snapToGrid w:val="0"/>
          <w:color w:val="000000"/>
          <w:sz w:val="32"/>
          <w:szCs w:val="32"/>
          <w:lang w:val="en-US" w:eastAsia="zh-CN"/>
        </w:rPr>
        <w:t>—</w:t>
      </w:r>
      <w:r>
        <w:rPr>
          <w:rFonts w:hint="eastAsia" w:ascii="Times New Roman" w:hAnsi="Times New Roman" w:eastAsia="仿宋_GB2312" w:cs="仿宋_GB2312"/>
          <w:snapToGrid w:val="0"/>
          <w:color w:val="000000"/>
          <w:sz w:val="32"/>
          <w:szCs w:val="32"/>
        </w:rPr>
        <w:t>2013）中规定，在产品保质期内，能量和营养成分的实际含量不应低于标示值的80%。</w:t>
      </w:r>
      <w:r>
        <w:rPr>
          <w:rFonts w:hint="eastAsia" w:ascii="Times New Roman" w:hAnsi="Times New Roman" w:eastAsia="仿宋_GB2312" w:cs="仿宋_GB2312"/>
          <w:snapToGrid w:val="0"/>
          <w:color w:val="000000"/>
          <w:sz w:val="32"/>
          <w:szCs w:val="32"/>
          <w:lang w:val="en-US" w:eastAsia="zh-CN"/>
        </w:rPr>
        <w:t>运动营养食品中维生素B</w:t>
      </w:r>
      <w:r>
        <w:rPr>
          <w:rFonts w:hint="eastAsia" w:ascii="Times New Roman" w:hAnsi="Times New Roman" w:eastAsia="仿宋_GB2312" w:cs="仿宋_GB2312"/>
          <w:snapToGrid w:val="0"/>
          <w:color w:val="000000"/>
          <w:sz w:val="32"/>
          <w:szCs w:val="32"/>
          <w:vertAlign w:val="subscript"/>
          <w:lang w:val="en-US" w:eastAsia="zh-CN"/>
        </w:rPr>
        <w:t>1</w:t>
      </w:r>
      <w:r>
        <w:rPr>
          <w:rFonts w:hint="eastAsia" w:ascii="Times New Roman" w:hAnsi="Times New Roman" w:eastAsia="仿宋_GB2312" w:cs="仿宋_GB2312"/>
          <w:snapToGrid w:val="0"/>
          <w:color w:val="000000"/>
          <w:sz w:val="32"/>
          <w:szCs w:val="32"/>
          <w:lang w:val="en-US" w:eastAsia="zh-CN"/>
        </w:rPr>
        <w:t>含量不达标的原因，可能是</w:t>
      </w:r>
      <w:r>
        <w:rPr>
          <w:rFonts w:hint="eastAsia" w:ascii="Times New Roman" w:hAnsi="Times New Roman" w:eastAsia="仿宋_GB2312" w:cs="仿宋_GB2312"/>
          <w:snapToGrid w:val="0"/>
          <w:color w:val="000000"/>
          <w:sz w:val="32"/>
          <w:szCs w:val="32"/>
        </w:rPr>
        <w:t>原辅料用食品营养强化剂不</w:t>
      </w:r>
      <w:r>
        <w:rPr>
          <w:rFonts w:hint="eastAsia" w:ascii="Times New Roman" w:hAnsi="Times New Roman" w:eastAsia="仿宋_GB2312" w:cs="仿宋_GB2312"/>
          <w:snapToGrid w:val="0"/>
          <w:color w:val="000000"/>
          <w:sz w:val="32"/>
          <w:szCs w:val="32"/>
          <w:lang w:eastAsia="zh-CN"/>
        </w:rPr>
        <w:t>符合</w:t>
      </w:r>
      <w:r>
        <w:rPr>
          <w:rFonts w:hint="eastAsia" w:ascii="Times New Roman" w:hAnsi="Times New Roman" w:eastAsia="仿宋_GB2312" w:cs="仿宋_GB2312"/>
          <w:snapToGrid w:val="0"/>
          <w:color w:val="000000"/>
          <w:sz w:val="32"/>
          <w:szCs w:val="32"/>
        </w:rPr>
        <w:t>质量要求</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lang w:val="en-US" w:eastAsia="zh-CN"/>
        </w:rPr>
        <w:t>也可能是</w:t>
      </w:r>
      <w:r>
        <w:rPr>
          <w:rFonts w:hint="eastAsia" w:ascii="Times New Roman" w:hAnsi="Times New Roman" w:eastAsia="仿宋_GB2312" w:cs="仿宋_GB2312"/>
          <w:snapToGrid w:val="0"/>
          <w:color w:val="000000"/>
          <w:sz w:val="32"/>
          <w:szCs w:val="32"/>
        </w:rPr>
        <w:t>生产加工过程中搅拌不均匀</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lang w:val="en-US" w:eastAsia="zh-CN"/>
        </w:rPr>
        <w:t>还</w:t>
      </w:r>
      <w:r>
        <w:rPr>
          <w:rFonts w:hint="eastAsia" w:ascii="Times New Roman" w:hAnsi="Times New Roman" w:eastAsia="仿宋_GB2312" w:cs="仿宋_GB2312"/>
          <w:snapToGrid w:val="0"/>
          <w:color w:val="000000"/>
          <w:sz w:val="32"/>
          <w:szCs w:val="32"/>
        </w:rPr>
        <w:t>可能是在加工或储存过程中损失。</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textAlignment w:val="auto"/>
        <w:rPr>
          <w:rFonts w:hint="default" w:ascii="Times New Roman" w:hAnsi="Times New Roman" w:eastAsia="黑体" w:cs="Times New Roman"/>
          <w:snapToGrid w:val="0"/>
          <w:color w:val="000000"/>
          <w:sz w:val="32"/>
          <w:szCs w:val="32"/>
          <w:lang w:val="en-US" w:eastAsia="zh-CN"/>
        </w:rPr>
      </w:pPr>
      <w:r>
        <w:rPr>
          <w:rFonts w:hint="eastAsia" w:ascii="Times New Roman" w:hAnsi="Times New Roman" w:eastAsia="黑体" w:cs="Times New Roman"/>
          <w:snapToGrid w:val="0"/>
          <w:color w:val="000000"/>
          <w:spacing w:val="0"/>
          <w:sz w:val="32"/>
          <w:szCs w:val="32"/>
          <w:lang w:val="en-US" w:eastAsia="zh-CN"/>
        </w:rPr>
        <w:t>三十六</w:t>
      </w:r>
      <w:r>
        <w:rPr>
          <w:rFonts w:hint="default" w:ascii="Times New Roman" w:hAnsi="Times New Roman" w:eastAsia="黑体" w:cs="Times New Roman"/>
          <w:snapToGrid w:val="0"/>
          <w:color w:val="000000"/>
          <w:spacing w:val="0"/>
          <w:sz w:val="32"/>
          <w:szCs w:val="32"/>
          <w:lang w:val="en-US" w:eastAsia="zh-CN"/>
        </w:rPr>
        <w:t>、</w:t>
      </w:r>
      <w:r>
        <w:rPr>
          <w:rFonts w:hint="default" w:ascii="Times New Roman" w:hAnsi="Times New Roman" w:eastAsia="黑体" w:cs="Times New Roman"/>
          <w:snapToGrid w:val="0"/>
          <w:color w:val="000000"/>
          <w:sz w:val="32"/>
          <w:szCs w:val="32"/>
          <w:lang w:val="en-US" w:eastAsia="zh-CN"/>
        </w:rPr>
        <w:t>维生素B</w:t>
      </w:r>
      <w:r>
        <w:rPr>
          <w:rFonts w:hint="default" w:ascii="Times New Roman" w:hAnsi="Times New Roman" w:eastAsia="黑体" w:cs="Times New Roman"/>
          <w:snapToGrid w:val="0"/>
          <w:color w:val="000000"/>
          <w:sz w:val="32"/>
          <w:szCs w:val="32"/>
          <w:vertAlign w:val="subscript"/>
          <w:lang w:val="en-US" w:eastAsia="zh-CN"/>
        </w:rPr>
        <w:t>2</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sz w:val="32"/>
          <w:szCs w:val="32"/>
        </w:rPr>
      </w:pPr>
      <w:r>
        <w:rPr>
          <w:rFonts w:hint="eastAsia" w:ascii="Times New Roman" w:hAnsi="Times New Roman" w:eastAsia="仿宋_GB2312" w:cs="仿宋_GB2312"/>
          <w:snapToGrid w:val="0"/>
          <w:color w:val="000000"/>
          <w:kern w:val="2"/>
          <w:sz w:val="32"/>
          <w:szCs w:val="32"/>
          <w:lang w:val="en-US" w:eastAsia="zh-CN" w:bidi="ar-SA"/>
        </w:rPr>
        <w:t>维生素B</w:t>
      </w:r>
      <w:r>
        <w:rPr>
          <w:rFonts w:hint="eastAsia" w:ascii="Times New Roman" w:hAnsi="Times New Roman" w:eastAsia="仿宋_GB2312" w:cs="仿宋_GB2312"/>
          <w:snapToGrid w:val="0"/>
          <w:color w:val="000000"/>
          <w:kern w:val="2"/>
          <w:sz w:val="32"/>
          <w:szCs w:val="32"/>
          <w:vertAlign w:val="subscript"/>
          <w:lang w:val="en-US" w:eastAsia="zh-CN" w:bidi="ar-SA"/>
        </w:rPr>
        <w:t>2</w:t>
      </w:r>
      <w:r>
        <w:rPr>
          <w:rFonts w:hint="eastAsia" w:ascii="Times New Roman" w:hAnsi="Times New Roman" w:eastAsia="仿宋_GB2312" w:cs="仿宋_GB2312"/>
          <w:snapToGrid w:val="0"/>
          <w:color w:val="000000"/>
          <w:kern w:val="2"/>
          <w:sz w:val="32"/>
          <w:szCs w:val="32"/>
          <w:lang w:val="en-US" w:eastAsia="zh-CN" w:bidi="ar-SA"/>
        </w:rPr>
        <w:t>是一种水溶性维生素，能够参与体内生物氧化与能量代谢。</w:t>
      </w:r>
      <w:r>
        <w:rPr>
          <w:rFonts w:hint="eastAsia" w:ascii="Times New Roman" w:hAnsi="Times New Roman" w:eastAsia="仿宋_GB2312" w:cs="仿宋_GB2312"/>
          <w:snapToGrid w:val="0"/>
          <w:color w:val="000000"/>
          <w:sz w:val="32"/>
          <w:szCs w:val="32"/>
          <w:lang w:val="en-US" w:eastAsia="zh-CN"/>
        </w:rPr>
        <w:t>《食品安全国家标准 运动营养食品通则》（GB 24154—2015）中规定，运动营养食品中维生素B</w:t>
      </w:r>
      <w:r>
        <w:rPr>
          <w:rFonts w:hint="eastAsia" w:ascii="Times New Roman" w:hAnsi="Times New Roman" w:eastAsia="仿宋_GB2312" w:cs="仿宋_GB2312"/>
          <w:snapToGrid w:val="0"/>
          <w:color w:val="000000"/>
          <w:sz w:val="32"/>
          <w:szCs w:val="32"/>
          <w:vertAlign w:val="subscript"/>
          <w:lang w:val="en-US" w:eastAsia="zh-CN"/>
        </w:rPr>
        <w:t>2</w:t>
      </w:r>
      <w:r>
        <w:rPr>
          <w:rFonts w:hint="eastAsia" w:ascii="Times New Roman" w:hAnsi="Times New Roman" w:eastAsia="仿宋_GB2312" w:cs="仿宋_GB2312"/>
          <w:snapToGrid w:val="0"/>
          <w:color w:val="000000"/>
          <w:sz w:val="32"/>
          <w:szCs w:val="32"/>
          <w:lang w:val="en-US" w:eastAsia="zh-CN"/>
        </w:rPr>
        <w:t>含量（以每日计）应在0.2—2mg范围内；</w:t>
      </w:r>
      <w:r>
        <w:rPr>
          <w:rFonts w:hint="eastAsia" w:ascii="Times New Roman" w:hAnsi="Times New Roman" w:eastAsia="仿宋_GB2312" w:cs="仿宋_GB2312"/>
          <w:snapToGrid w:val="0"/>
          <w:color w:val="000000"/>
          <w:sz w:val="32"/>
          <w:szCs w:val="32"/>
        </w:rPr>
        <w:t>《食品安全国家标准 预包装特殊膳食用食品标签》（GB 13432</w:t>
      </w:r>
      <w:r>
        <w:rPr>
          <w:rFonts w:hint="eastAsia" w:ascii="Times New Roman" w:hAnsi="Times New Roman" w:eastAsia="仿宋_GB2312" w:cs="仿宋_GB2312"/>
          <w:snapToGrid w:val="0"/>
          <w:color w:val="000000"/>
          <w:sz w:val="32"/>
          <w:szCs w:val="32"/>
          <w:lang w:val="en-US" w:eastAsia="zh-CN"/>
        </w:rPr>
        <w:t>—</w:t>
      </w:r>
      <w:r>
        <w:rPr>
          <w:rFonts w:hint="eastAsia" w:ascii="Times New Roman" w:hAnsi="Times New Roman" w:eastAsia="仿宋_GB2312" w:cs="仿宋_GB2312"/>
          <w:snapToGrid w:val="0"/>
          <w:color w:val="000000"/>
          <w:sz w:val="32"/>
          <w:szCs w:val="32"/>
        </w:rPr>
        <w:t>2013）中规定，在产品保质期内，能量和营养成分的实际含量不应低于标示值的80%。</w:t>
      </w:r>
      <w:r>
        <w:rPr>
          <w:rFonts w:hint="eastAsia" w:ascii="Times New Roman" w:hAnsi="Times New Roman" w:eastAsia="仿宋_GB2312" w:cs="仿宋_GB2312"/>
          <w:snapToGrid w:val="0"/>
          <w:color w:val="000000"/>
          <w:sz w:val="32"/>
          <w:szCs w:val="32"/>
          <w:lang w:val="en-US" w:eastAsia="zh-CN"/>
        </w:rPr>
        <w:t>运动营养食品中维生素B</w:t>
      </w:r>
      <w:r>
        <w:rPr>
          <w:rFonts w:hint="eastAsia" w:ascii="Times New Roman" w:hAnsi="Times New Roman" w:eastAsia="仿宋_GB2312" w:cs="仿宋_GB2312"/>
          <w:snapToGrid w:val="0"/>
          <w:color w:val="000000"/>
          <w:sz w:val="32"/>
          <w:szCs w:val="32"/>
          <w:vertAlign w:val="subscript"/>
          <w:lang w:val="en-US" w:eastAsia="zh-CN"/>
        </w:rPr>
        <w:t>2</w:t>
      </w:r>
      <w:r>
        <w:rPr>
          <w:rFonts w:hint="eastAsia" w:ascii="Times New Roman" w:hAnsi="Times New Roman" w:eastAsia="仿宋_GB2312" w:cs="仿宋_GB2312"/>
          <w:snapToGrid w:val="0"/>
          <w:color w:val="000000"/>
          <w:sz w:val="32"/>
          <w:szCs w:val="32"/>
          <w:lang w:val="en-US" w:eastAsia="zh-CN"/>
        </w:rPr>
        <w:t>含量不达标</w:t>
      </w:r>
      <w:r>
        <w:rPr>
          <w:rFonts w:hint="eastAsia" w:ascii="Times New Roman" w:hAnsi="Times New Roman" w:eastAsia="仿宋_GB2312" w:cs="仿宋_GB2312"/>
          <w:snapToGrid w:val="0"/>
          <w:color w:val="000000"/>
          <w:sz w:val="32"/>
          <w:szCs w:val="32"/>
        </w:rPr>
        <w:t>的原因</w:t>
      </w:r>
      <w:r>
        <w:rPr>
          <w:rFonts w:hint="eastAsia" w:ascii="Times New Roman" w:hAnsi="Times New Roman" w:eastAsia="仿宋_GB2312" w:cs="仿宋_GB2312"/>
          <w:snapToGrid w:val="0"/>
          <w:color w:val="000000"/>
          <w:sz w:val="32"/>
          <w:szCs w:val="32"/>
          <w:lang w:eastAsia="zh-CN"/>
        </w:rPr>
        <w:t>，</w:t>
      </w:r>
      <w:r>
        <w:rPr>
          <w:rFonts w:hint="eastAsia" w:ascii="Times New Roman" w:hAnsi="Times New Roman" w:eastAsia="仿宋_GB2312" w:cs="仿宋_GB2312"/>
          <w:snapToGrid w:val="0"/>
          <w:color w:val="000000"/>
          <w:sz w:val="32"/>
          <w:szCs w:val="32"/>
          <w:lang w:val="en-US" w:eastAsia="zh-CN"/>
        </w:rPr>
        <w:t>可能是原辅料用食品营养强化剂不符合质量要求；也可能是生产加工过程中搅拌不均匀；还可能是在加工或储存过程中损失。</w:t>
      </w:r>
    </w:p>
    <w:p>
      <w:pPr>
        <w:pStyle w:val="2"/>
        <w:keepNext w:val="0"/>
        <w:keepLines w:val="0"/>
        <w:pageBreakBefore w:val="0"/>
        <w:widowControl w:val="0"/>
        <w:numPr>
          <w:ilvl w:val="0"/>
          <w:numId w:val="0"/>
        </w:numPr>
        <w:kinsoku/>
        <w:wordWrap/>
        <w:overflowPunct w:val="0"/>
        <w:topLinePunct w:val="0"/>
        <w:autoSpaceDE/>
        <w:autoSpaceDN/>
        <w:bidi w:val="0"/>
        <w:adjustRightInd w:val="0"/>
        <w:snapToGrid w:val="0"/>
        <w:spacing w:after="0" w:line="594" w:lineRule="exact"/>
        <w:ind w:left="0" w:leftChars="0" w:firstLine="640" w:firstLineChars="200"/>
        <w:jc w:val="both"/>
        <w:textAlignment w:val="auto"/>
        <w:rPr>
          <w:rFonts w:hint="eastAsia" w:ascii="Times New Roman" w:hAnsi="Times New Roman" w:eastAsia="黑体" w:cs="黑体"/>
          <w:snapToGrid w:val="0"/>
          <w:color w:val="000000"/>
          <w:szCs w:val="32"/>
          <w:highlight w:val="none"/>
          <w:lang w:eastAsia="zh-CN"/>
        </w:rPr>
      </w:pPr>
      <w:r>
        <w:rPr>
          <w:rFonts w:hint="eastAsia" w:eastAsia="黑体" w:cs="Times New Roman"/>
          <w:snapToGrid w:val="0"/>
          <w:color w:val="000000"/>
          <w:spacing w:val="0"/>
          <w:sz w:val="32"/>
          <w:szCs w:val="32"/>
          <w:highlight w:val="none"/>
          <w:lang w:val="en-US" w:eastAsia="zh-CN"/>
        </w:rPr>
        <w:t>三十七</w:t>
      </w:r>
      <w:r>
        <w:rPr>
          <w:rFonts w:hint="default" w:ascii="Times New Roman" w:hAnsi="Times New Roman" w:eastAsia="黑体" w:cs="Times New Roman"/>
          <w:snapToGrid w:val="0"/>
          <w:color w:val="000000"/>
          <w:spacing w:val="0"/>
          <w:sz w:val="32"/>
          <w:szCs w:val="32"/>
          <w:highlight w:val="none"/>
        </w:rPr>
        <w:t>、</w:t>
      </w:r>
      <w:r>
        <w:rPr>
          <w:rFonts w:hint="eastAsia" w:ascii="Times New Roman" w:hAnsi="Times New Roman" w:eastAsia="黑体" w:cs="黑体"/>
          <w:snapToGrid w:val="0"/>
          <w:color w:val="000000"/>
          <w:szCs w:val="32"/>
          <w:highlight w:val="none"/>
          <w:lang w:val="en-US" w:eastAsia="zh-CN"/>
        </w:rPr>
        <w:t>反式脂肪酸</w:t>
      </w:r>
    </w:p>
    <w:p>
      <w:pPr>
        <w:topLinePunct w:val="0"/>
        <w:adjustRightInd w:val="0"/>
        <w:snapToGrid w:val="0"/>
        <w:spacing w:line="594" w:lineRule="exact"/>
        <w:ind w:firstLine="640" w:firstLineChars="200"/>
        <w:rPr>
          <w:rFonts w:hint="eastAsia" w:eastAsia="仿宋_GB2312" w:cs="仿宋_GB2312"/>
          <w:snapToGrid w:val="0"/>
          <w:color w:val="000000"/>
          <w:spacing w:val="0"/>
          <w:sz w:val="32"/>
          <w:szCs w:val="32"/>
          <w:lang w:val="en-US" w:eastAsia="zh-CN"/>
        </w:rPr>
      </w:pPr>
      <w:r>
        <w:rPr>
          <w:rFonts w:hint="eastAsia" w:ascii="Times New Roman" w:hAnsi="Times New Roman" w:eastAsia="仿宋_GB2312" w:cs="仿宋_GB2312"/>
          <w:snapToGrid w:val="0"/>
          <w:color w:val="000000"/>
          <w:sz w:val="32"/>
          <w:szCs w:val="32"/>
          <w:highlight w:val="none"/>
          <w:lang w:val="en-US" w:eastAsia="zh-CN"/>
        </w:rPr>
        <w:t>营养标签标示的“反式脂肪酸”，指含有一个或一个以上非共轭反式双键的不饱和脂肪酸，反式脂肪酸熔点高、氧化稳定性和口感好、易储存，被广泛应用于烘焙、糖果、饮料、冰激凌、煎炸等食品。《食品安全国家标准 预包装食品营养标签通则》（GB 28050—2011）中规定，营养成分标示值可通过原料计算或产品检测获得，若食品中的反式脂肪酸标注为“0”时，需满足其含量≤0.3g/100g或0.3g/100mL。月饼中反式脂肪酸含量不符合产品标签明示要求的原因，可能是生产企业计算或者检测与实际有误差；也可能是工艺不稳定导致产品质量不稳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94" w:lineRule="exact"/>
        <w:ind w:firstLine="640" w:firstLineChars="200"/>
        <w:textAlignment w:val="auto"/>
        <w:rPr>
          <w:rFonts w:hint="eastAsia" w:ascii="Times New Roman" w:hAnsi="Times New Roman" w:eastAsia="黑体" w:cs="黑体"/>
          <w:snapToGrid w:val="0"/>
          <w:color w:val="000000"/>
          <w:spacing w:val="0"/>
          <w:sz w:val="32"/>
          <w:szCs w:val="32"/>
          <w:highlight w:val="none"/>
          <w:lang w:val="en-US" w:eastAsia="zh-CN"/>
        </w:rPr>
      </w:pPr>
      <w:r>
        <w:rPr>
          <w:rFonts w:hint="eastAsia" w:ascii="Times New Roman" w:hAnsi="Times New Roman" w:eastAsia="黑体" w:cs="Times New Roman"/>
          <w:snapToGrid w:val="0"/>
          <w:color w:val="000000"/>
          <w:sz w:val="32"/>
          <w:szCs w:val="32"/>
          <w:highlight w:val="none"/>
          <w:lang w:val="en-US" w:eastAsia="zh-CN"/>
        </w:rPr>
        <w:t>三十八、糖</w:t>
      </w:r>
    </w:p>
    <w:p>
      <w:pPr>
        <w:widowControl w:val="0"/>
        <w:topLinePunct w:val="0"/>
        <w:adjustRightInd w:val="0"/>
        <w:snapToGrid w:val="0"/>
        <w:spacing w:line="594" w:lineRule="exact"/>
        <w:ind w:firstLine="640" w:firstLineChars="200"/>
        <w:rPr>
          <w:rFonts w:hint="eastAsia" w:eastAsia="仿宋_GB2312" w:cs="仿宋_GB2312"/>
          <w:snapToGrid w:val="0"/>
          <w:color w:val="000000"/>
          <w:spacing w:val="0"/>
          <w:sz w:val="32"/>
          <w:szCs w:val="32"/>
          <w:lang w:val="en-US" w:eastAsia="zh-CN"/>
        </w:rPr>
      </w:pPr>
      <w:r>
        <w:rPr>
          <w:rFonts w:hint="eastAsia" w:ascii="Times New Roman" w:hAnsi="Times New Roman" w:eastAsia="仿宋_GB2312" w:cs="仿宋_GB2312"/>
          <w:snapToGrid w:val="0"/>
          <w:color w:val="000000"/>
          <w:sz w:val="32"/>
          <w:szCs w:val="32"/>
          <w:highlight w:val="none"/>
          <w:lang w:val="en-US" w:eastAsia="zh-CN"/>
        </w:rPr>
        <w:t>营养标签标示的“糖”，指所有的单糖和双糖，如葡萄糖、蔗糖等，是碳水化合物的一种，是提供能量的重要营养素。《食品安全国家标准 预包装食品营养标签通则》（GB 28050—2011）中规定，营养成分标示值可通过原料计算或产品检测获得，若食品中的糖标注为“0”时，需满足糖的含量≤0.5g/100g或0.5g/100mL。月饼中糖含量不符合产品标签明示要求的原因，可能是生产企业计算或者检测与实际有误差；也可能是工艺不稳定导致产品质量不稳定。</w:t>
      </w:r>
    </w:p>
    <w:p>
      <w:pPr>
        <w:topLinePunct w:val="0"/>
        <w:adjustRightInd w:val="0"/>
        <w:snapToGrid w:val="0"/>
        <w:spacing w:line="594" w:lineRule="exact"/>
        <w:ind w:firstLine="640" w:firstLineChars="200"/>
        <w:rPr>
          <w:rFonts w:hint="eastAsia" w:ascii="Times New Roman" w:hAnsi="Times New Roman" w:eastAsia="黑体" w:cs="Times New Roman"/>
          <w:snapToGrid w:val="0"/>
          <w:color w:val="000000"/>
          <w:spacing w:val="0"/>
          <w:sz w:val="32"/>
          <w:szCs w:val="32"/>
          <w:lang w:eastAsia="zh-CN"/>
        </w:rPr>
      </w:pPr>
      <w:r>
        <w:rPr>
          <w:rFonts w:hint="eastAsia" w:eastAsia="黑体"/>
          <w:snapToGrid w:val="0"/>
          <w:color w:val="000000"/>
          <w:spacing w:val="0"/>
          <w:sz w:val="32"/>
          <w:szCs w:val="32"/>
          <w:lang w:val="en-US" w:eastAsia="zh-CN"/>
        </w:rPr>
        <w:t>三十九、酒精度</w:t>
      </w:r>
    </w:p>
    <w:p>
      <w:pPr>
        <w:spacing w:line="594" w:lineRule="exact"/>
        <w:ind w:firstLine="640" w:firstLineChars="200"/>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仿宋_GB2312"/>
          <w:snapToGrid w:val="0"/>
          <w:color w:val="000000"/>
          <w:kern w:val="2"/>
          <w:sz w:val="32"/>
          <w:szCs w:val="32"/>
          <w:lang w:val="en-US" w:eastAsia="zh-CN"/>
        </w:rPr>
        <w:t>酒精度又叫酒度，是指在20℃时，100毫升酒中含有乙醇（酒精）的毫升数，即体积（容量）的百分数。酒精度是酒类产品的一个重要理化指标，主要反映产品品质。目前酒类中酒精度暂无食品安全国家标准要求，主要由相关产品执行标准要求规定，《露酒》（GB/T 27588—2011）中规定，酒精度标签标示值与实测值不得超过±1.0%vol。酒精度数不符合产品明示标准要求的原因，可能是企业生产工艺控制不严或生产工艺水平较低，无法准确控制酒精度；也可能是生产企业检验器具未检定或检验过程不规范，造成出厂检验结果有偏差；还可能是因包装容器密封不严，在储存过程中部分酒精挥发所致。</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汉仪大宋简">
    <w:panose1 w:val="02010609000101010101"/>
    <w:charset w:val="86"/>
    <w:family w:val="auto"/>
    <w:pitch w:val="default"/>
    <w:sig w:usb0="00000001" w:usb1="080E0800" w:usb2="00000002" w:usb3="00000000" w:csb0="00040000"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lang w:val="zh-CN"/>
      </w:rPr>
    </w:sdtEndPr>
    <w:sdtContent>
      <w:p>
        <w:pPr>
          <w:pStyle w:val="6"/>
          <w:jc w:val="center"/>
          <w:rPr>
            <w:lang w:val="zh-CN"/>
          </w:rPr>
        </w:pPr>
        <w:r>
          <w:rPr>
            <w:lang w:val="zh-CN"/>
          </w:rPr>
          <w:fldChar w:fldCharType="begin"/>
        </w:r>
        <w:r>
          <w:rPr>
            <w:lang w:val="zh-CN"/>
          </w:rPr>
          <w:instrText xml:space="preserve">PAGE   \* MERGEFORMAT</w:instrText>
        </w:r>
        <w:r>
          <w:rPr>
            <w:lang w:val="zh-CN"/>
          </w:rPr>
          <w:fldChar w:fldCharType="separate"/>
        </w:r>
        <w:r>
          <w:rPr>
            <w:lang w:val="zh-CN"/>
          </w:rPr>
          <w:t>3</w:t>
        </w:r>
        <w:r>
          <w:rPr>
            <w:lang w:val="zh-CN"/>
          </w:rPr>
          <w:fldChar w:fldCharType="end"/>
        </w:r>
      </w:p>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1Nzk0NGJjYjlhZTdmZjU0YmM5NTY3ODhkYTUwMzcifQ=="/>
  </w:docVars>
  <w:rsids>
    <w:rsidRoot w:val="052446EE"/>
    <w:rsid w:val="00020497"/>
    <w:rsid w:val="00024C6D"/>
    <w:rsid w:val="00043432"/>
    <w:rsid w:val="00043867"/>
    <w:rsid w:val="00053AE6"/>
    <w:rsid w:val="00083C9A"/>
    <w:rsid w:val="000A1FB4"/>
    <w:rsid w:val="000B21AE"/>
    <w:rsid w:val="000B4026"/>
    <w:rsid w:val="000B4DAD"/>
    <w:rsid w:val="000C502F"/>
    <w:rsid w:val="000C6083"/>
    <w:rsid w:val="000D1C58"/>
    <w:rsid w:val="000D34F7"/>
    <w:rsid w:val="000F7117"/>
    <w:rsid w:val="0010216A"/>
    <w:rsid w:val="00107958"/>
    <w:rsid w:val="00110259"/>
    <w:rsid w:val="001220AD"/>
    <w:rsid w:val="00123FF4"/>
    <w:rsid w:val="00131A76"/>
    <w:rsid w:val="0013226B"/>
    <w:rsid w:val="0015275C"/>
    <w:rsid w:val="001727C1"/>
    <w:rsid w:val="00177381"/>
    <w:rsid w:val="0019592F"/>
    <w:rsid w:val="001C1A51"/>
    <w:rsid w:val="001D168E"/>
    <w:rsid w:val="001D3191"/>
    <w:rsid w:val="001E3878"/>
    <w:rsid w:val="001E40B2"/>
    <w:rsid w:val="001F4428"/>
    <w:rsid w:val="001F5BDC"/>
    <w:rsid w:val="0024004A"/>
    <w:rsid w:val="00242E9A"/>
    <w:rsid w:val="00244971"/>
    <w:rsid w:val="0025796E"/>
    <w:rsid w:val="002849D1"/>
    <w:rsid w:val="00287BFF"/>
    <w:rsid w:val="002A1219"/>
    <w:rsid w:val="002A2616"/>
    <w:rsid w:val="002A3534"/>
    <w:rsid w:val="002D0E99"/>
    <w:rsid w:val="002D2E25"/>
    <w:rsid w:val="00305C48"/>
    <w:rsid w:val="00312A7A"/>
    <w:rsid w:val="0033388D"/>
    <w:rsid w:val="003347AE"/>
    <w:rsid w:val="00336B1D"/>
    <w:rsid w:val="00343C07"/>
    <w:rsid w:val="00363809"/>
    <w:rsid w:val="00375893"/>
    <w:rsid w:val="00390C6C"/>
    <w:rsid w:val="003B1570"/>
    <w:rsid w:val="003C27DE"/>
    <w:rsid w:val="003F22EE"/>
    <w:rsid w:val="00415A66"/>
    <w:rsid w:val="00423285"/>
    <w:rsid w:val="00434D14"/>
    <w:rsid w:val="00452EBB"/>
    <w:rsid w:val="0049668F"/>
    <w:rsid w:val="004A228F"/>
    <w:rsid w:val="004B4C0B"/>
    <w:rsid w:val="004C3F64"/>
    <w:rsid w:val="004F17CC"/>
    <w:rsid w:val="0050201A"/>
    <w:rsid w:val="00503C7B"/>
    <w:rsid w:val="00533D1D"/>
    <w:rsid w:val="005557BE"/>
    <w:rsid w:val="00560DD5"/>
    <w:rsid w:val="0056128C"/>
    <w:rsid w:val="005A1446"/>
    <w:rsid w:val="005B036E"/>
    <w:rsid w:val="005C72E8"/>
    <w:rsid w:val="005E1899"/>
    <w:rsid w:val="005E36FE"/>
    <w:rsid w:val="005E5714"/>
    <w:rsid w:val="005F4FE7"/>
    <w:rsid w:val="006000A5"/>
    <w:rsid w:val="00601F5C"/>
    <w:rsid w:val="0062795C"/>
    <w:rsid w:val="006417C9"/>
    <w:rsid w:val="00674436"/>
    <w:rsid w:val="00681D0D"/>
    <w:rsid w:val="00687989"/>
    <w:rsid w:val="006E2F89"/>
    <w:rsid w:val="006E6218"/>
    <w:rsid w:val="006F0D6D"/>
    <w:rsid w:val="006F22C8"/>
    <w:rsid w:val="006F3B40"/>
    <w:rsid w:val="00704F64"/>
    <w:rsid w:val="00725909"/>
    <w:rsid w:val="007400B0"/>
    <w:rsid w:val="00751527"/>
    <w:rsid w:val="007535B9"/>
    <w:rsid w:val="007576ED"/>
    <w:rsid w:val="00760BDF"/>
    <w:rsid w:val="0077656B"/>
    <w:rsid w:val="007822C5"/>
    <w:rsid w:val="00792534"/>
    <w:rsid w:val="007C73DC"/>
    <w:rsid w:val="007D0852"/>
    <w:rsid w:val="007F55A3"/>
    <w:rsid w:val="007F6A2F"/>
    <w:rsid w:val="00802F57"/>
    <w:rsid w:val="00812F54"/>
    <w:rsid w:val="008270FB"/>
    <w:rsid w:val="0082773A"/>
    <w:rsid w:val="00895609"/>
    <w:rsid w:val="008A22C6"/>
    <w:rsid w:val="008A2568"/>
    <w:rsid w:val="008C1383"/>
    <w:rsid w:val="008C3F7A"/>
    <w:rsid w:val="008D3AA0"/>
    <w:rsid w:val="008E762E"/>
    <w:rsid w:val="008F0056"/>
    <w:rsid w:val="00903A84"/>
    <w:rsid w:val="00906A8C"/>
    <w:rsid w:val="00933FC6"/>
    <w:rsid w:val="00950CBE"/>
    <w:rsid w:val="009568FF"/>
    <w:rsid w:val="00967245"/>
    <w:rsid w:val="00980954"/>
    <w:rsid w:val="009809DA"/>
    <w:rsid w:val="00981C27"/>
    <w:rsid w:val="009941B3"/>
    <w:rsid w:val="009D2294"/>
    <w:rsid w:val="009D56C5"/>
    <w:rsid w:val="009E2E64"/>
    <w:rsid w:val="009F42E5"/>
    <w:rsid w:val="009F75A8"/>
    <w:rsid w:val="00A0189E"/>
    <w:rsid w:val="00A12057"/>
    <w:rsid w:val="00A655ED"/>
    <w:rsid w:val="00A72D59"/>
    <w:rsid w:val="00A819D9"/>
    <w:rsid w:val="00A858FD"/>
    <w:rsid w:val="00A8639F"/>
    <w:rsid w:val="00AE2978"/>
    <w:rsid w:val="00AE3415"/>
    <w:rsid w:val="00AE4163"/>
    <w:rsid w:val="00AE443A"/>
    <w:rsid w:val="00AF3D26"/>
    <w:rsid w:val="00B02836"/>
    <w:rsid w:val="00B17403"/>
    <w:rsid w:val="00B26756"/>
    <w:rsid w:val="00B30079"/>
    <w:rsid w:val="00B342D4"/>
    <w:rsid w:val="00B46A7C"/>
    <w:rsid w:val="00B56A64"/>
    <w:rsid w:val="00B734B6"/>
    <w:rsid w:val="00B82BD1"/>
    <w:rsid w:val="00B83167"/>
    <w:rsid w:val="00B876A6"/>
    <w:rsid w:val="00BA50EB"/>
    <w:rsid w:val="00BE4729"/>
    <w:rsid w:val="00C05D47"/>
    <w:rsid w:val="00C10FA4"/>
    <w:rsid w:val="00C22080"/>
    <w:rsid w:val="00C277F9"/>
    <w:rsid w:val="00C35F32"/>
    <w:rsid w:val="00C425FB"/>
    <w:rsid w:val="00C47869"/>
    <w:rsid w:val="00C52899"/>
    <w:rsid w:val="00C53768"/>
    <w:rsid w:val="00C71CF8"/>
    <w:rsid w:val="00C82E32"/>
    <w:rsid w:val="00C95DA4"/>
    <w:rsid w:val="00CD2658"/>
    <w:rsid w:val="00CD5EC3"/>
    <w:rsid w:val="00CE26B0"/>
    <w:rsid w:val="00CE296E"/>
    <w:rsid w:val="00D026A1"/>
    <w:rsid w:val="00D0282A"/>
    <w:rsid w:val="00D02ED8"/>
    <w:rsid w:val="00D172AA"/>
    <w:rsid w:val="00D17FA8"/>
    <w:rsid w:val="00D221B8"/>
    <w:rsid w:val="00D25ABD"/>
    <w:rsid w:val="00D407AC"/>
    <w:rsid w:val="00D44653"/>
    <w:rsid w:val="00D550F5"/>
    <w:rsid w:val="00D716C1"/>
    <w:rsid w:val="00D75D39"/>
    <w:rsid w:val="00D940B0"/>
    <w:rsid w:val="00DB0F7D"/>
    <w:rsid w:val="00DB3515"/>
    <w:rsid w:val="00DB7633"/>
    <w:rsid w:val="00DB7982"/>
    <w:rsid w:val="00DC4018"/>
    <w:rsid w:val="00DD03EA"/>
    <w:rsid w:val="00DD59C8"/>
    <w:rsid w:val="00DD7C24"/>
    <w:rsid w:val="00E01EB3"/>
    <w:rsid w:val="00E07B1F"/>
    <w:rsid w:val="00E16D89"/>
    <w:rsid w:val="00E45266"/>
    <w:rsid w:val="00E5453C"/>
    <w:rsid w:val="00E54EE8"/>
    <w:rsid w:val="00E651D8"/>
    <w:rsid w:val="00E66BDB"/>
    <w:rsid w:val="00E721EF"/>
    <w:rsid w:val="00E73511"/>
    <w:rsid w:val="00E81D4E"/>
    <w:rsid w:val="00E90919"/>
    <w:rsid w:val="00EA2C6D"/>
    <w:rsid w:val="00EB1898"/>
    <w:rsid w:val="00EB2DC4"/>
    <w:rsid w:val="00ED0033"/>
    <w:rsid w:val="00EE4D2C"/>
    <w:rsid w:val="00EF6290"/>
    <w:rsid w:val="00F009DD"/>
    <w:rsid w:val="00F10843"/>
    <w:rsid w:val="00F129A7"/>
    <w:rsid w:val="00F1663E"/>
    <w:rsid w:val="00F407C3"/>
    <w:rsid w:val="00F502BA"/>
    <w:rsid w:val="00F73C8B"/>
    <w:rsid w:val="00F748C1"/>
    <w:rsid w:val="00F84AAD"/>
    <w:rsid w:val="00F935EF"/>
    <w:rsid w:val="00F94FE6"/>
    <w:rsid w:val="00FA2106"/>
    <w:rsid w:val="00FA4809"/>
    <w:rsid w:val="00FB1217"/>
    <w:rsid w:val="00FB53DF"/>
    <w:rsid w:val="00FB60C0"/>
    <w:rsid w:val="01521B81"/>
    <w:rsid w:val="01A56D4B"/>
    <w:rsid w:val="01C40DDD"/>
    <w:rsid w:val="022306C8"/>
    <w:rsid w:val="02661E94"/>
    <w:rsid w:val="027A5D95"/>
    <w:rsid w:val="028D1A14"/>
    <w:rsid w:val="02EE52CA"/>
    <w:rsid w:val="03130978"/>
    <w:rsid w:val="038F0445"/>
    <w:rsid w:val="03A414C8"/>
    <w:rsid w:val="03F93ABC"/>
    <w:rsid w:val="04025BED"/>
    <w:rsid w:val="04185E25"/>
    <w:rsid w:val="04294F27"/>
    <w:rsid w:val="043132CE"/>
    <w:rsid w:val="04B16515"/>
    <w:rsid w:val="04C47CFA"/>
    <w:rsid w:val="052446EE"/>
    <w:rsid w:val="052567B4"/>
    <w:rsid w:val="053242B0"/>
    <w:rsid w:val="05462D97"/>
    <w:rsid w:val="05486422"/>
    <w:rsid w:val="055E15B3"/>
    <w:rsid w:val="05907CAB"/>
    <w:rsid w:val="06A61BD4"/>
    <w:rsid w:val="06A71C34"/>
    <w:rsid w:val="06FC4B75"/>
    <w:rsid w:val="070639D0"/>
    <w:rsid w:val="0722265B"/>
    <w:rsid w:val="07265873"/>
    <w:rsid w:val="0780615A"/>
    <w:rsid w:val="07A30962"/>
    <w:rsid w:val="07DA160B"/>
    <w:rsid w:val="07DC16F6"/>
    <w:rsid w:val="081C479D"/>
    <w:rsid w:val="084F41B0"/>
    <w:rsid w:val="08744366"/>
    <w:rsid w:val="089E37AF"/>
    <w:rsid w:val="09175AF5"/>
    <w:rsid w:val="09227595"/>
    <w:rsid w:val="09FE6495"/>
    <w:rsid w:val="0AAD48BF"/>
    <w:rsid w:val="0AC442D1"/>
    <w:rsid w:val="0ADC3742"/>
    <w:rsid w:val="0B0F0BB5"/>
    <w:rsid w:val="0B107A4A"/>
    <w:rsid w:val="0B437A81"/>
    <w:rsid w:val="0B7A1C33"/>
    <w:rsid w:val="0BAC1F15"/>
    <w:rsid w:val="0BC8771C"/>
    <w:rsid w:val="0BCB7477"/>
    <w:rsid w:val="0BCF39F7"/>
    <w:rsid w:val="0C2A1C3C"/>
    <w:rsid w:val="0C2D133B"/>
    <w:rsid w:val="0C364B74"/>
    <w:rsid w:val="0C476D67"/>
    <w:rsid w:val="0CB80C50"/>
    <w:rsid w:val="0CD40A10"/>
    <w:rsid w:val="0CF0645F"/>
    <w:rsid w:val="0D7B670C"/>
    <w:rsid w:val="0DAC348B"/>
    <w:rsid w:val="0E092D0B"/>
    <w:rsid w:val="0EB456BA"/>
    <w:rsid w:val="0EC81837"/>
    <w:rsid w:val="0EDA7A01"/>
    <w:rsid w:val="0F5238B5"/>
    <w:rsid w:val="0FEB509E"/>
    <w:rsid w:val="0FF5732E"/>
    <w:rsid w:val="0FFF6C37"/>
    <w:rsid w:val="102D3FF1"/>
    <w:rsid w:val="1032287E"/>
    <w:rsid w:val="103364D3"/>
    <w:rsid w:val="105542C0"/>
    <w:rsid w:val="10625608"/>
    <w:rsid w:val="108233AD"/>
    <w:rsid w:val="109070A8"/>
    <w:rsid w:val="10A511DC"/>
    <w:rsid w:val="10C75499"/>
    <w:rsid w:val="10F93D79"/>
    <w:rsid w:val="10FD04FB"/>
    <w:rsid w:val="111C434C"/>
    <w:rsid w:val="11A245C9"/>
    <w:rsid w:val="11A552D9"/>
    <w:rsid w:val="11AD305F"/>
    <w:rsid w:val="12076629"/>
    <w:rsid w:val="122E1D99"/>
    <w:rsid w:val="12C90538"/>
    <w:rsid w:val="12D22C2E"/>
    <w:rsid w:val="12F72E14"/>
    <w:rsid w:val="12FD4DF0"/>
    <w:rsid w:val="130B5CD4"/>
    <w:rsid w:val="133001AE"/>
    <w:rsid w:val="134D526F"/>
    <w:rsid w:val="13971551"/>
    <w:rsid w:val="1420037B"/>
    <w:rsid w:val="14D86DA1"/>
    <w:rsid w:val="15044CA6"/>
    <w:rsid w:val="156E0206"/>
    <w:rsid w:val="160A5910"/>
    <w:rsid w:val="164A4168"/>
    <w:rsid w:val="16664CAC"/>
    <w:rsid w:val="166F6AB3"/>
    <w:rsid w:val="16BB447B"/>
    <w:rsid w:val="16E342D2"/>
    <w:rsid w:val="17033CEF"/>
    <w:rsid w:val="1722569F"/>
    <w:rsid w:val="178C1298"/>
    <w:rsid w:val="17CE2081"/>
    <w:rsid w:val="18B17C05"/>
    <w:rsid w:val="19067FF8"/>
    <w:rsid w:val="195E164B"/>
    <w:rsid w:val="196B1D4E"/>
    <w:rsid w:val="19977A4A"/>
    <w:rsid w:val="19D6063F"/>
    <w:rsid w:val="19DD082F"/>
    <w:rsid w:val="1A907481"/>
    <w:rsid w:val="1AD508F6"/>
    <w:rsid w:val="1AEC7B0C"/>
    <w:rsid w:val="1B03607B"/>
    <w:rsid w:val="1B2E77B1"/>
    <w:rsid w:val="1B3D7278"/>
    <w:rsid w:val="1B7E4CF9"/>
    <w:rsid w:val="1C2A3D09"/>
    <w:rsid w:val="1CCD272D"/>
    <w:rsid w:val="1CD94E78"/>
    <w:rsid w:val="1CE5696D"/>
    <w:rsid w:val="1D513069"/>
    <w:rsid w:val="1D6C2FCD"/>
    <w:rsid w:val="1DA014D7"/>
    <w:rsid w:val="1DA97C4C"/>
    <w:rsid w:val="1DF6698D"/>
    <w:rsid w:val="1E0B5C9C"/>
    <w:rsid w:val="1E1A3721"/>
    <w:rsid w:val="1E37319B"/>
    <w:rsid w:val="1E9157FB"/>
    <w:rsid w:val="1ECF2759"/>
    <w:rsid w:val="1F961D6E"/>
    <w:rsid w:val="1FA03EF4"/>
    <w:rsid w:val="1FCF0608"/>
    <w:rsid w:val="1FF5604A"/>
    <w:rsid w:val="1FF77807"/>
    <w:rsid w:val="203D0B3D"/>
    <w:rsid w:val="20582274"/>
    <w:rsid w:val="2059449C"/>
    <w:rsid w:val="20BC665B"/>
    <w:rsid w:val="20BF196C"/>
    <w:rsid w:val="20C11697"/>
    <w:rsid w:val="20DF2D7E"/>
    <w:rsid w:val="20E97796"/>
    <w:rsid w:val="21372698"/>
    <w:rsid w:val="215701F0"/>
    <w:rsid w:val="21991D50"/>
    <w:rsid w:val="2298310D"/>
    <w:rsid w:val="22E67475"/>
    <w:rsid w:val="2340612E"/>
    <w:rsid w:val="239D06F1"/>
    <w:rsid w:val="23A75855"/>
    <w:rsid w:val="23D113E8"/>
    <w:rsid w:val="24235EAA"/>
    <w:rsid w:val="24762C28"/>
    <w:rsid w:val="247A6FAA"/>
    <w:rsid w:val="249D47DC"/>
    <w:rsid w:val="25124A75"/>
    <w:rsid w:val="25850A9E"/>
    <w:rsid w:val="259E23E3"/>
    <w:rsid w:val="26314ACD"/>
    <w:rsid w:val="266C5903"/>
    <w:rsid w:val="26846429"/>
    <w:rsid w:val="269D741C"/>
    <w:rsid w:val="26B71989"/>
    <w:rsid w:val="27584E00"/>
    <w:rsid w:val="275A07ED"/>
    <w:rsid w:val="27894434"/>
    <w:rsid w:val="27B8270D"/>
    <w:rsid w:val="27C43035"/>
    <w:rsid w:val="27CF1A25"/>
    <w:rsid w:val="28340ACC"/>
    <w:rsid w:val="28501F15"/>
    <w:rsid w:val="28CC6DE2"/>
    <w:rsid w:val="28FF13DB"/>
    <w:rsid w:val="2924792E"/>
    <w:rsid w:val="294A7F7D"/>
    <w:rsid w:val="29F504F1"/>
    <w:rsid w:val="29F8276D"/>
    <w:rsid w:val="29FB7D70"/>
    <w:rsid w:val="2A4672BA"/>
    <w:rsid w:val="2A53594F"/>
    <w:rsid w:val="2A6F4459"/>
    <w:rsid w:val="2ABF7615"/>
    <w:rsid w:val="2AEB7548"/>
    <w:rsid w:val="2AF42F2E"/>
    <w:rsid w:val="2B390248"/>
    <w:rsid w:val="2BCB7237"/>
    <w:rsid w:val="2BD07C59"/>
    <w:rsid w:val="2C1205D9"/>
    <w:rsid w:val="2CD74E22"/>
    <w:rsid w:val="2CE70F66"/>
    <w:rsid w:val="2D64060D"/>
    <w:rsid w:val="2D7D16EA"/>
    <w:rsid w:val="2DA62CE5"/>
    <w:rsid w:val="2E1F3F87"/>
    <w:rsid w:val="2E25104B"/>
    <w:rsid w:val="2E4243E1"/>
    <w:rsid w:val="2ECD0714"/>
    <w:rsid w:val="2F033EB0"/>
    <w:rsid w:val="2F197EB6"/>
    <w:rsid w:val="2F2C68FC"/>
    <w:rsid w:val="2F712A79"/>
    <w:rsid w:val="2F9A4E1E"/>
    <w:rsid w:val="2F9B35E3"/>
    <w:rsid w:val="2FD50154"/>
    <w:rsid w:val="2FDD066F"/>
    <w:rsid w:val="2FF4710F"/>
    <w:rsid w:val="302C3947"/>
    <w:rsid w:val="30706BFB"/>
    <w:rsid w:val="30730D18"/>
    <w:rsid w:val="308001C6"/>
    <w:rsid w:val="308A30FA"/>
    <w:rsid w:val="30AC7B38"/>
    <w:rsid w:val="30EE7B7F"/>
    <w:rsid w:val="31252E3F"/>
    <w:rsid w:val="318B5860"/>
    <w:rsid w:val="31B405DF"/>
    <w:rsid w:val="31FD11FC"/>
    <w:rsid w:val="32A67649"/>
    <w:rsid w:val="338259C4"/>
    <w:rsid w:val="33844E91"/>
    <w:rsid w:val="339A091A"/>
    <w:rsid w:val="33BA14BA"/>
    <w:rsid w:val="33ED2D65"/>
    <w:rsid w:val="34151A1C"/>
    <w:rsid w:val="342D7174"/>
    <w:rsid w:val="34516D2E"/>
    <w:rsid w:val="345C2663"/>
    <w:rsid w:val="34B86E31"/>
    <w:rsid w:val="34DB4439"/>
    <w:rsid w:val="34F97B15"/>
    <w:rsid w:val="358F3E74"/>
    <w:rsid w:val="35AE42B6"/>
    <w:rsid w:val="35B553BC"/>
    <w:rsid w:val="35EC612F"/>
    <w:rsid w:val="36256509"/>
    <w:rsid w:val="36AD5E36"/>
    <w:rsid w:val="36B30709"/>
    <w:rsid w:val="36BB0136"/>
    <w:rsid w:val="36BB4D35"/>
    <w:rsid w:val="3763411B"/>
    <w:rsid w:val="37E01180"/>
    <w:rsid w:val="37E56DDC"/>
    <w:rsid w:val="37F900FD"/>
    <w:rsid w:val="383F0A08"/>
    <w:rsid w:val="38933D71"/>
    <w:rsid w:val="389D7FD9"/>
    <w:rsid w:val="38AA3B42"/>
    <w:rsid w:val="392A1904"/>
    <w:rsid w:val="392E7281"/>
    <w:rsid w:val="394C2E8B"/>
    <w:rsid w:val="395E00B1"/>
    <w:rsid w:val="39673EBA"/>
    <w:rsid w:val="3A4A0926"/>
    <w:rsid w:val="3A52468E"/>
    <w:rsid w:val="3A8A5A19"/>
    <w:rsid w:val="3AA478AB"/>
    <w:rsid w:val="3B2D45F6"/>
    <w:rsid w:val="3B5B0921"/>
    <w:rsid w:val="3C2512EE"/>
    <w:rsid w:val="3C3812CC"/>
    <w:rsid w:val="3C432FF1"/>
    <w:rsid w:val="3C4B12A5"/>
    <w:rsid w:val="3C4D2E8B"/>
    <w:rsid w:val="3C81270D"/>
    <w:rsid w:val="3CE766A7"/>
    <w:rsid w:val="3D54210C"/>
    <w:rsid w:val="3DD57988"/>
    <w:rsid w:val="3E56682C"/>
    <w:rsid w:val="3ED05834"/>
    <w:rsid w:val="3EF229BA"/>
    <w:rsid w:val="3F064ECA"/>
    <w:rsid w:val="3F42581D"/>
    <w:rsid w:val="3FA01312"/>
    <w:rsid w:val="3FED319C"/>
    <w:rsid w:val="401234CD"/>
    <w:rsid w:val="405B301B"/>
    <w:rsid w:val="408B4949"/>
    <w:rsid w:val="40F962F7"/>
    <w:rsid w:val="41025C20"/>
    <w:rsid w:val="411B6563"/>
    <w:rsid w:val="41344E6E"/>
    <w:rsid w:val="414D2145"/>
    <w:rsid w:val="41994A06"/>
    <w:rsid w:val="4218656A"/>
    <w:rsid w:val="4236267D"/>
    <w:rsid w:val="42590783"/>
    <w:rsid w:val="42843858"/>
    <w:rsid w:val="42BC2694"/>
    <w:rsid w:val="42C6205B"/>
    <w:rsid w:val="43AF5096"/>
    <w:rsid w:val="43ED18D3"/>
    <w:rsid w:val="44120B90"/>
    <w:rsid w:val="446C036D"/>
    <w:rsid w:val="448604CB"/>
    <w:rsid w:val="44921DE2"/>
    <w:rsid w:val="4493451F"/>
    <w:rsid w:val="44CE64DA"/>
    <w:rsid w:val="44DE50C7"/>
    <w:rsid w:val="452A2755"/>
    <w:rsid w:val="45562D9B"/>
    <w:rsid w:val="458C5588"/>
    <w:rsid w:val="45AF268C"/>
    <w:rsid w:val="45BE39FC"/>
    <w:rsid w:val="45C416A7"/>
    <w:rsid w:val="460962CF"/>
    <w:rsid w:val="463A646A"/>
    <w:rsid w:val="46994A91"/>
    <w:rsid w:val="46CC3297"/>
    <w:rsid w:val="471E6356"/>
    <w:rsid w:val="47230740"/>
    <w:rsid w:val="47242D51"/>
    <w:rsid w:val="47D450E7"/>
    <w:rsid w:val="47D93B1F"/>
    <w:rsid w:val="48CD06B6"/>
    <w:rsid w:val="48CE02C4"/>
    <w:rsid w:val="48D63B60"/>
    <w:rsid w:val="48F615AA"/>
    <w:rsid w:val="490A2BDA"/>
    <w:rsid w:val="491E2B74"/>
    <w:rsid w:val="493B6E40"/>
    <w:rsid w:val="494C3F8C"/>
    <w:rsid w:val="494E4E79"/>
    <w:rsid w:val="49500E7F"/>
    <w:rsid w:val="495138DA"/>
    <w:rsid w:val="497763FD"/>
    <w:rsid w:val="49B00079"/>
    <w:rsid w:val="49BD4A24"/>
    <w:rsid w:val="49D57EE1"/>
    <w:rsid w:val="4A2B2399"/>
    <w:rsid w:val="4A612A04"/>
    <w:rsid w:val="4A835AE0"/>
    <w:rsid w:val="4ADC5E51"/>
    <w:rsid w:val="4B5D2CD5"/>
    <w:rsid w:val="4C544655"/>
    <w:rsid w:val="4C904C34"/>
    <w:rsid w:val="4C9204E2"/>
    <w:rsid w:val="4C95329C"/>
    <w:rsid w:val="4CA036CC"/>
    <w:rsid w:val="4CAE2F0F"/>
    <w:rsid w:val="4CB7255F"/>
    <w:rsid w:val="4D2968B7"/>
    <w:rsid w:val="4D5B1BD1"/>
    <w:rsid w:val="4D61085B"/>
    <w:rsid w:val="4D96357F"/>
    <w:rsid w:val="4DF711BF"/>
    <w:rsid w:val="4E196222"/>
    <w:rsid w:val="4E8159AF"/>
    <w:rsid w:val="4ED53EED"/>
    <w:rsid w:val="4EF14EDB"/>
    <w:rsid w:val="4EFB0F58"/>
    <w:rsid w:val="4F69410F"/>
    <w:rsid w:val="4F864951"/>
    <w:rsid w:val="4FAF363F"/>
    <w:rsid w:val="4FDF48D9"/>
    <w:rsid w:val="4FE173F8"/>
    <w:rsid w:val="50147C53"/>
    <w:rsid w:val="509C264D"/>
    <w:rsid w:val="50A6290C"/>
    <w:rsid w:val="50B25B41"/>
    <w:rsid w:val="50BC54AF"/>
    <w:rsid w:val="514C2084"/>
    <w:rsid w:val="51861C65"/>
    <w:rsid w:val="51B24EEC"/>
    <w:rsid w:val="51B43769"/>
    <w:rsid w:val="51BC1E2A"/>
    <w:rsid w:val="51F05D16"/>
    <w:rsid w:val="528A11AE"/>
    <w:rsid w:val="52A07CC6"/>
    <w:rsid w:val="52F04014"/>
    <w:rsid w:val="52FD335B"/>
    <w:rsid w:val="532062CE"/>
    <w:rsid w:val="532C26E6"/>
    <w:rsid w:val="533407C0"/>
    <w:rsid w:val="5387412A"/>
    <w:rsid w:val="53FD2F44"/>
    <w:rsid w:val="53FF0DCE"/>
    <w:rsid w:val="543A66FB"/>
    <w:rsid w:val="54544D6D"/>
    <w:rsid w:val="545804DE"/>
    <w:rsid w:val="548D4260"/>
    <w:rsid w:val="549064CF"/>
    <w:rsid w:val="54D819BB"/>
    <w:rsid w:val="55BF59F4"/>
    <w:rsid w:val="55E05282"/>
    <w:rsid w:val="56110C8E"/>
    <w:rsid w:val="564660C6"/>
    <w:rsid w:val="56A276D0"/>
    <w:rsid w:val="56CD4EBA"/>
    <w:rsid w:val="576E53FC"/>
    <w:rsid w:val="57B03788"/>
    <w:rsid w:val="57E966D0"/>
    <w:rsid w:val="57F401E5"/>
    <w:rsid w:val="580C5E2D"/>
    <w:rsid w:val="58184493"/>
    <w:rsid w:val="586C779B"/>
    <w:rsid w:val="58873140"/>
    <w:rsid w:val="588C340E"/>
    <w:rsid w:val="58A7355C"/>
    <w:rsid w:val="58EC7F03"/>
    <w:rsid w:val="58F76D4A"/>
    <w:rsid w:val="5917309A"/>
    <w:rsid w:val="592526F4"/>
    <w:rsid w:val="593443AA"/>
    <w:rsid w:val="59840098"/>
    <w:rsid w:val="59C949EC"/>
    <w:rsid w:val="59D04F91"/>
    <w:rsid w:val="5AA67CB1"/>
    <w:rsid w:val="5AB54607"/>
    <w:rsid w:val="5AB741B0"/>
    <w:rsid w:val="5B035A3A"/>
    <w:rsid w:val="5B3421AF"/>
    <w:rsid w:val="5B7D1719"/>
    <w:rsid w:val="5B9E651D"/>
    <w:rsid w:val="5BE41C7F"/>
    <w:rsid w:val="5BFF1837"/>
    <w:rsid w:val="5C063D09"/>
    <w:rsid w:val="5C435B8D"/>
    <w:rsid w:val="5CC14841"/>
    <w:rsid w:val="5CD643C2"/>
    <w:rsid w:val="5CFE7FA4"/>
    <w:rsid w:val="5D253771"/>
    <w:rsid w:val="5D3C5BA5"/>
    <w:rsid w:val="5D80788F"/>
    <w:rsid w:val="5DA1645E"/>
    <w:rsid w:val="5DAE345A"/>
    <w:rsid w:val="5DBB39A0"/>
    <w:rsid w:val="5DBE4F38"/>
    <w:rsid w:val="5E14229A"/>
    <w:rsid w:val="5E38554B"/>
    <w:rsid w:val="5E5431CD"/>
    <w:rsid w:val="5F2065C8"/>
    <w:rsid w:val="5F625760"/>
    <w:rsid w:val="5FEB4A4B"/>
    <w:rsid w:val="5FFC5037"/>
    <w:rsid w:val="60315B4F"/>
    <w:rsid w:val="6051475F"/>
    <w:rsid w:val="611E6C1C"/>
    <w:rsid w:val="613D1EB7"/>
    <w:rsid w:val="61C61E38"/>
    <w:rsid w:val="61EE62B8"/>
    <w:rsid w:val="62331957"/>
    <w:rsid w:val="63213BB4"/>
    <w:rsid w:val="634D1122"/>
    <w:rsid w:val="63BA5678"/>
    <w:rsid w:val="63C45F36"/>
    <w:rsid w:val="64165519"/>
    <w:rsid w:val="643200F6"/>
    <w:rsid w:val="649D4B85"/>
    <w:rsid w:val="64CE046B"/>
    <w:rsid w:val="64D82E8B"/>
    <w:rsid w:val="653E7950"/>
    <w:rsid w:val="657451F0"/>
    <w:rsid w:val="65C32FE2"/>
    <w:rsid w:val="661F7A8A"/>
    <w:rsid w:val="66CE2C36"/>
    <w:rsid w:val="66D46B60"/>
    <w:rsid w:val="675A48DF"/>
    <w:rsid w:val="676770CE"/>
    <w:rsid w:val="679E2A0F"/>
    <w:rsid w:val="67FD322B"/>
    <w:rsid w:val="68A74C6B"/>
    <w:rsid w:val="69872FA0"/>
    <w:rsid w:val="69C7211C"/>
    <w:rsid w:val="69D70A50"/>
    <w:rsid w:val="69E34809"/>
    <w:rsid w:val="6A071B71"/>
    <w:rsid w:val="6AE05AA1"/>
    <w:rsid w:val="6B1E0678"/>
    <w:rsid w:val="6B487B7E"/>
    <w:rsid w:val="6B8F3DB5"/>
    <w:rsid w:val="6B997EDF"/>
    <w:rsid w:val="6BA50B91"/>
    <w:rsid w:val="6BC54056"/>
    <w:rsid w:val="6C57653C"/>
    <w:rsid w:val="6C8F263F"/>
    <w:rsid w:val="6D3323BC"/>
    <w:rsid w:val="6E0D279D"/>
    <w:rsid w:val="6E157149"/>
    <w:rsid w:val="6E1B7C7E"/>
    <w:rsid w:val="6E9D44F7"/>
    <w:rsid w:val="6EFF5CCE"/>
    <w:rsid w:val="6F7C56DB"/>
    <w:rsid w:val="707961D1"/>
    <w:rsid w:val="70A95BE0"/>
    <w:rsid w:val="70CF7EE0"/>
    <w:rsid w:val="70F00C1D"/>
    <w:rsid w:val="71052DB8"/>
    <w:rsid w:val="71346E5A"/>
    <w:rsid w:val="716B2491"/>
    <w:rsid w:val="718F0848"/>
    <w:rsid w:val="71A343C4"/>
    <w:rsid w:val="72404633"/>
    <w:rsid w:val="728D7A35"/>
    <w:rsid w:val="72C76DBF"/>
    <w:rsid w:val="72DC3B2E"/>
    <w:rsid w:val="72ED6B92"/>
    <w:rsid w:val="735D6752"/>
    <w:rsid w:val="73712CCC"/>
    <w:rsid w:val="739C3AEB"/>
    <w:rsid w:val="73A155A6"/>
    <w:rsid w:val="73F64CEB"/>
    <w:rsid w:val="741C16EF"/>
    <w:rsid w:val="742B7477"/>
    <w:rsid w:val="743531C2"/>
    <w:rsid w:val="743B3E91"/>
    <w:rsid w:val="74631C62"/>
    <w:rsid w:val="74807F03"/>
    <w:rsid w:val="749704B3"/>
    <w:rsid w:val="74E50822"/>
    <w:rsid w:val="751C7E3C"/>
    <w:rsid w:val="75A22D1B"/>
    <w:rsid w:val="75A47394"/>
    <w:rsid w:val="75B7499E"/>
    <w:rsid w:val="76A91457"/>
    <w:rsid w:val="7773491F"/>
    <w:rsid w:val="77775FE6"/>
    <w:rsid w:val="77A6DB5F"/>
    <w:rsid w:val="77DD70DB"/>
    <w:rsid w:val="784B4258"/>
    <w:rsid w:val="78A92BB3"/>
    <w:rsid w:val="78B574BE"/>
    <w:rsid w:val="78BF19EB"/>
    <w:rsid w:val="78D70C58"/>
    <w:rsid w:val="78FA154C"/>
    <w:rsid w:val="78FB4BB6"/>
    <w:rsid w:val="79043F06"/>
    <w:rsid w:val="79993017"/>
    <w:rsid w:val="79A128CE"/>
    <w:rsid w:val="79DE2FF1"/>
    <w:rsid w:val="79F929A6"/>
    <w:rsid w:val="7A023F6B"/>
    <w:rsid w:val="7A7226AF"/>
    <w:rsid w:val="7A971365"/>
    <w:rsid w:val="7AE837E3"/>
    <w:rsid w:val="7AEF51CB"/>
    <w:rsid w:val="7B081C9A"/>
    <w:rsid w:val="7B0C1162"/>
    <w:rsid w:val="7B344CA7"/>
    <w:rsid w:val="7BAF49F6"/>
    <w:rsid w:val="7BBC107B"/>
    <w:rsid w:val="7BDB4D25"/>
    <w:rsid w:val="7C304413"/>
    <w:rsid w:val="7C3A13FB"/>
    <w:rsid w:val="7C3B5127"/>
    <w:rsid w:val="7C6730DA"/>
    <w:rsid w:val="7D750B61"/>
    <w:rsid w:val="7D9B6771"/>
    <w:rsid w:val="7DBD7C50"/>
    <w:rsid w:val="7E0B3EED"/>
    <w:rsid w:val="7E5C2B1F"/>
    <w:rsid w:val="7EC40F71"/>
    <w:rsid w:val="7EF37C31"/>
    <w:rsid w:val="7F056143"/>
    <w:rsid w:val="7F362E0C"/>
    <w:rsid w:val="7F3A6B56"/>
    <w:rsid w:val="7F3C7129"/>
    <w:rsid w:val="7F413799"/>
    <w:rsid w:val="7F7F5721"/>
    <w:rsid w:val="7FBE329C"/>
    <w:rsid w:val="7FC3364F"/>
    <w:rsid w:val="7FD40B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8"/>
    <w:qFormat/>
    <w:uiPriority w:val="0"/>
    <w:pPr>
      <w:adjustRightInd w:val="0"/>
      <w:ind w:left="0" w:leftChars="0" w:firstLine="880" w:firstLineChars="200"/>
    </w:pPr>
    <w:rPr>
      <w:rFonts w:ascii="Calibri" w:hAnsi="Calibri" w:eastAsia="仿宋" w:cs="Times New Roman"/>
      <w:sz w:val="32"/>
    </w:rPr>
  </w:style>
  <w:style w:type="paragraph" w:styleId="3">
    <w:name w:val="Body Text Indent"/>
    <w:basedOn w:val="1"/>
    <w:link w:val="17"/>
    <w:qFormat/>
    <w:uiPriority w:val="0"/>
    <w:pPr>
      <w:spacing w:after="120"/>
      <w:ind w:left="420" w:leftChars="200"/>
    </w:pPr>
  </w:style>
  <w:style w:type="paragraph" w:styleId="4">
    <w:name w:val="annotation text"/>
    <w:basedOn w:val="1"/>
    <w:semiHidden/>
    <w:unhideWhenUsed/>
    <w:qFormat/>
    <w:uiPriority w:val="0"/>
    <w:pPr>
      <w:jc w:val="left"/>
    </w:pPr>
  </w:style>
  <w:style w:type="paragraph" w:styleId="5">
    <w:name w:val="Balloon Text"/>
    <w:basedOn w:val="1"/>
    <w:link w:val="16"/>
    <w:qFormat/>
    <w:uiPriority w:val="0"/>
    <w:rPr>
      <w:sz w:val="18"/>
      <w:szCs w:val="18"/>
    </w:rPr>
  </w:style>
  <w:style w:type="paragraph" w:styleId="6">
    <w:name w:val="footer"/>
    <w:basedOn w:val="1"/>
    <w:link w:val="15"/>
    <w:qFormat/>
    <w:uiPriority w:val="99"/>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paragraph" w:styleId="9">
    <w:name w:val="Normal (Web)"/>
    <w:basedOn w:val="1"/>
    <w:unhideWhenUsed/>
    <w:qFormat/>
    <w:uiPriority w:val="99"/>
    <w:pPr>
      <w:spacing w:beforeAutospacing="1" w:afterAutospacing="1"/>
      <w:jc w:val="left"/>
    </w:pPr>
    <w:rPr>
      <w:rFonts w:cs="Times New Roman"/>
      <w:kern w:val="0"/>
      <w:sz w:val="24"/>
    </w:rPr>
  </w:style>
  <w:style w:type="character" w:styleId="12">
    <w:name w:val="page number"/>
    <w:basedOn w:val="11"/>
    <w:qFormat/>
    <w:uiPriority w:val="0"/>
  </w:style>
  <w:style w:type="paragraph" w:customStyle="1" w:styleId="13">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14">
    <w:name w:val="页眉 Char"/>
    <w:basedOn w:val="11"/>
    <w:link w:val="7"/>
    <w:qFormat/>
    <w:uiPriority w:val="0"/>
    <w:rPr>
      <w:rFonts w:asciiTheme="minorHAnsi" w:hAnsiTheme="minorHAnsi" w:eastAsiaTheme="minorEastAsia" w:cstheme="minorBidi"/>
      <w:kern w:val="2"/>
      <w:sz w:val="18"/>
      <w:szCs w:val="18"/>
    </w:rPr>
  </w:style>
  <w:style w:type="character" w:customStyle="1" w:styleId="15">
    <w:name w:val="页脚 Char"/>
    <w:basedOn w:val="11"/>
    <w:link w:val="6"/>
    <w:qFormat/>
    <w:uiPriority w:val="99"/>
    <w:rPr>
      <w:rFonts w:asciiTheme="minorHAnsi" w:hAnsiTheme="minorHAnsi" w:eastAsiaTheme="minorEastAsia" w:cstheme="minorBidi"/>
      <w:kern w:val="2"/>
      <w:sz w:val="18"/>
      <w:szCs w:val="18"/>
    </w:rPr>
  </w:style>
  <w:style w:type="character" w:customStyle="1" w:styleId="16">
    <w:name w:val="批注框文本 Char"/>
    <w:basedOn w:val="11"/>
    <w:link w:val="5"/>
    <w:qFormat/>
    <w:uiPriority w:val="0"/>
    <w:rPr>
      <w:rFonts w:asciiTheme="minorHAnsi" w:hAnsiTheme="minorHAnsi" w:eastAsiaTheme="minorEastAsia" w:cstheme="minorBidi"/>
      <w:kern w:val="2"/>
      <w:sz w:val="18"/>
      <w:szCs w:val="18"/>
    </w:rPr>
  </w:style>
  <w:style w:type="character" w:customStyle="1" w:styleId="17">
    <w:name w:val="正文文本缩进 Char"/>
    <w:basedOn w:val="11"/>
    <w:link w:val="3"/>
    <w:qFormat/>
    <w:uiPriority w:val="0"/>
    <w:rPr>
      <w:rFonts w:asciiTheme="minorHAnsi" w:hAnsiTheme="minorHAnsi" w:eastAsiaTheme="minorEastAsia" w:cstheme="minorBidi"/>
      <w:kern w:val="2"/>
      <w:sz w:val="21"/>
      <w:szCs w:val="22"/>
    </w:rPr>
  </w:style>
  <w:style w:type="character" w:customStyle="1" w:styleId="18">
    <w:name w:val="正文首行缩进 2 Char"/>
    <w:basedOn w:val="17"/>
    <w:link w:val="2"/>
    <w:qFormat/>
    <w:uiPriority w:val="0"/>
    <w:rPr>
      <w:rFonts w:ascii="Calibri" w:hAnsi="Calibri" w:eastAsia="仿宋" w:cstheme="minorBidi"/>
      <w:kern w:val="2"/>
      <w:sz w:val="32"/>
      <w:szCs w:val="22"/>
    </w:rPr>
  </w:style>
  <w:style w:type="paragraph" w:customStyle="1" w:styleId="19">
    <w:name w:val="列出段落2"/>
    <w:basedOn w:val="1"/>
    <w:qFormat/>
    <w:uiPriority w:val="34"/>
    <w:pPr>
      <w:ind w:firstLine="420" w:firstLineChars="200"/>
    </w:pPr>
  </w:style>
  <w:style w:type="paragraph" w:styleId="20">
    <w:name w:val="List Paragraph"/>
    <w:basedOn w:val="1"/>
    <w:unhideWhenUsed/>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07daab53-ac29-42ca-9b9e-be3ec2a986e9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30D842E2</paraID>
      <start xmlns="http://schemas.wps.cn/vas-ai-hub/contract-review">388</start>
      <end xmlns="http://schemas.wps.cn/vas-ai-hub/contract-review">389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78f1d6dc-671f-4f38-9399-67684056dd63</errorID>
      <errorWord xmlns="http://schemas.wps.cn/vas-ai-hub/contract-review">葵花籽</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葵花子</item>
      </candidateList>
      <explain xmlns="http://schemas.wps.cn/vas-ai-hub/contract-review"/>
      <paraID xmlns="http://schemas.wps.cn/vas-ai-hub/contract-review">6A4EA6E8</paraID>
      <start xmlns="http://schemas.wps.cn/vas-ai-hub/contract-review">260</start>
      <end xmlns="http://schemas.wps.cn/vas-ai-hub/contract-review">263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c0bbaed6-16d4-4401-addb-effecb96205b</errorID>
      <errorWord xmlns="http://schemas.wps.cn/vas-ai-hub/contract-review">硫磺熏蒸</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硫黄熏蒸</item>
      </candidateList>
      <explain xmlns="http://schemas.wps.cn/vas-ai-hub/contract-review">词汇[硫磺熏蒸]为不规范表述或旧称，其规范书面表述为[硫黄熏蒸]。</explain>
      <paraID xmlns="http://schemas.wps.cn/vas-ai-hub/contract-review">1995780A</paraID>
      <start xmlns="http://schemas.wps.cn/vas-ai-hub/contract-review">260</start>
      <end xmlns="http://schemas.wps.cn/vas-ai-hub/contract-review">264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85cdbb49-c534-4eca-b71c-6a884de6e16f</errorID>
      <errorWord xmlns="http://schemas.wps.cn/vas-ai-hub/contract-review">条件致病菌</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机会致病菌</item>
      </candidateList>
      <explain xmlns="http://schemas.wps.cn/vas-ai-hub/contract-review">医学名词[条件致病菌]为不规范表述或旧称，其规范书面表述为[机会致病菌]。</explain>
      <paraID xmlns="http://schemas.wps.cn/vas-ai-hub/contract-review">29C24388</paraID>
      <start xmlns="http://schemas.wps.cn/vas-ai-hub/contract-review">75</start>
      <end xmlns="http://schemas.wps.cn/vas-ai-hub/contract-review">80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5eb2ae98-0420-4453-bb73-379fa1185377</errorID>
      <errorWord xmlns="http://schemas.wps.cn/vas-ai-hub/contract-review">食欲不振</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食欲缺乏</item>
      </candidateList>
      <explain xmlns="http://schemas.wps.cn/vas-ai-hub/contract-review">医学名词[食欲不振]为不规范表述或旧称，其规范书面表述为[食欲缺乏]。</explain>
      <paraID xmlns="http://schemas.wps.cn/vas-ai-hub/contract-review"> A8210CD</paraID>
      <start xmlns="http://schemas.wps.cn/vas-ai-hub/contract-review">70</start>
      <end xmlns="http://schemas.wps.cn/vas-ai-hub/contract-review">74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542a8e56-e06e-4852-846a-a784940fef47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A8210CD</paraID>
      <start xmlns="http://schemas.wps.cn/vas-ai-hub/contract-review">86</start>
      <end xmlns="http://schemas.wps.cn/vas-ai-hub/contract-review">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812522ff-981e-4ef6-9178-639958846f4e</errorID>
      <errorWord xmlns="http://schemas.wps.cn/vas-ai-hub/contract-review">缺乏病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缺乏症</item>
      </candidateList>
      <explain xmlns="http://schemas.wps.cn/vas-ai-hub/contract-review"/>
      <paraID xmlns="http://schemas.wps.cn/vas-ai-hub/contract-review">6E0C7A1D</paraID>
      <start xmlns="http://schemas.wps.cn/vas-ai-hub/contract-review">64</start>
      <end xmlns="http://schemas.wps.cn/vas-ai-hub/contract-review">67</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e2c5f38c-69c0-4cf5-b1a0-ddaadf39df8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8950</Words>
  <Characters>9661</Characters>
  <Lines>9</Lines>
  <Paragraphs>2</Paragraphs>
  <TotalTime>2</TotalTime>
  <ScaleCrop>false</ScaleCrop>
  <LinksUpToDate>false</LinksUpToDate>
  <CharactersWithSpaces>9752</CharactersWithSpaces>
  <Application>WPS Office_11.8.0.12357_F1E327BC-269C-435d-A152-05C5408002CA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2021-01-12T09:57:00Z</dcterms:created>
  <dc:creator>ywk-rx</dc:creator>
  <cp:lastModifiedBy>oa</cp:lastModifiedBy>
  <cp:lastPrinted>2024-06-12T14:27:00Z</cp:lastPrinted>
  <dcterms:modified xsi:type="dcterms:W3CDTF">2026-10-12T13:31:57Z</dcterms:modified>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2052-11.8.0.12357</vt:lpwstr>
  </property>
  <property fmtid="{D5CDD505-2E9C-101B-9397-08002B2CF9AE}" pid="3" name="ICV">
    <vt:lpwstr>8FC70DB446F947B9A28D728FC4827A4F_13</vt:lpwstr>
  </property>
  <property fmtid="{D5CDD505-2E9C-101B-9397-08002B2CF9AE}" pid="4" name="KSOTemplateDocerSaveRecord">
    <vt:lpwstr>eyJoZGlkIjoiMTg1Nzk0NGJjYjlhZTdmZjU0YmM5NTY3ODhkYTUwMzciLCJ1c2VySWQiOiI2NDk3NTE4MjIifQ==</vt:lpwstr>
  </property>
</Properties>
</file>