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AE7F864">
      <w:pPr>
        <w:spacing w:line="560" w:lineRule="exact"/>
        <w:jc w:val="left"/>
        <w:rPr>
          <w:rFonts w:hint="default" w:ascii="黑体" w:hAnsi="黑体" w:eastAsia="黑体" w:cs="黑体"/>
          <w:sz w:val="32"/>
          <w:szCs w:val="32"/>
          <w:lang w:val="en-US" w:eastAsia="zh-CN"/>
        </w:rPr>
      </w:pPr>
      <w:bookmarkStart w:id="0" w:name="_GoBack"/>
      <w:bookmarkEnd w:id="0"/>
      <w:r>
        <w:rPr>
          <w:rFonts w:hint="eastAsia" w:ascii="黑体" w:hAnsi="黑体" w:eastAsia="黑体" w:cs="黑体"/>
          <w:sz w:val="32"/>
          <w:szCs w:val="32"/>
          <w:lang w:eastAsia="zh-CN"/>
        </w:rPr>
        <w:t>附件</w:t>
      </w:r>
      <w:r>
        <w:rPr>
          <w:rFonts w:hint="eastAsia" w:ascii="黑体" w:hAnsi="黑体" w:eastAsia="黑体" w:cs="黑体"/>
          <w:sz w:val="32"/>
          <w:szCs w:val="32"/>
          <w:lang w:val="en-US" w:eastAsia="zh-CN"/>
        </w:rPr>
        <w:t>2</w:t>
      </w:r>
    </w:p>
    <w:p w14:paraId="36271ECF">
      <w:pPr>
        <w:spacing w:line="560" w:lineRule="exact"/>
        <w:jc w:val="center"/>
        <w:rPr>
          <w:rFonts w:hint="eastAsia" w:ascii="方正小标宋简体" w:hAnsi="方正小标宋简体" w:eastAsia="方正小标宋简体" w:cs="方正小标宋简体"/>
          <w:sz w:val="44"/>
          <w:szCs w:val="44"/>
        </w:rPr>
      </w:pPr>
    </w:p>
    <w:p w14:paraId="04E86957">
      <w:pPr>
        <w:spacing w:line="560" w:lineRule="exact"/>
        <w:jc w:val="center"/>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税务行政处罚“轻微不罚”事项清单</w:t>
      </w:r>
    </w:p>
    <w:p w14:paraId="707F4C45">
      <w:pPr>
        <w:spacing w:line="560" w:lineRule="exact"/>
        <w:jc w:val="center"/>
        <w:rPr>
          <w:rFonts w:hint="eastAsia" w:ascii="黑体" w:eastAsia="黑体"/>
          <w:sz w:val="36"/>
          <w:szCs w:val="36"/>
          <w:highlight w:val="yellow"/>
        </w:rPr>
      </w:pPr>
    </w:p>
    <w:p w14:paraId="6ABCD7E0">
      <w:pPr>
        <w:pStyle w:val="2"/>
        <w:spacing w:line="360" w:lineRule="auto"/>
        <w:ind w:firstLine="640"/>
        <w:jc w:val="both"/>
        <w:rPr>
          <w:rFonts w:hint="eastAsia"/>
          <w:sz w:val="32"/>
          <w:szCs w:val="32"/>
          <w:highlight w:val="none"/>
        </w:rPr>
      </w:pPr>
      <w:r>
        <w:rPr>
          <w:rFonts w:hint="eastAsia" w:ascii="仿宋_GB2312" w:hAnsi="仿宋_GB2312" w:eastAsia="仿宋_GB2312" w:cs="仿宋_GB2312"/>
          <w:sz w:val="32"/>
          <w:szCs w:val="32"/>
          <w:highlight w:val="none"/>
        </w:rPr>
        <w:t>本清单适用《中华人民共和国行政处罚法》第三十三条第一款“违法行为轻微并及时改正，没有造成危害后果的，不予行政处罚”的情形。</w:t>
      </w:r>
    </w:p>
    <w:tbl>
      <w:tblPr>
        <w:tblStyle w:val="5"/>
        <w:tblW w:w="5221" w:type="pct"/>
        <w:jc w:val="center"/>
        <w:tblLayout w:type="fixed"/>
        <w:tblCellMar>
          <w:top w:w="0" w:type="dxa"/>
          <w:left w:w="108" w:type="dxa"/>
          <w:bottom w:w="0" w:type="dxa"/>
          <w:right w:w="108" w:type="dxa"/>
        </w:tblCellMar>
      </w:tblPr>
      <w:tblGrid>
        <w:gridCol w:w="934"/>
        <w:gridCol w:w="3126"/>
        <w:gridCol w:w="4839"/>
      </w:tblGrid>
      <w:tr w14:paraId="6302F2C0">
        <w:tblPrEx>
          <w:tblCellMar>
            <w:top w:w="0" w:type="dxa"/>
            <w:left w:w="108" w:type="dxa"/>
            <w:bottom w:w="0" w:type="dxa"/>
            <w:right w:w="108" w:type="dxa"/>
          </w:tblCellMar>
        </w:tblPrEx>
        <w:trPr>
          <w:trHeight w:val="660" w:hRule="atLeast"/>
          <w:jc w:val="center"/>
        </w:trPr>
        <w:tc>
          <w:tcPr>
            <w:tcW w:w="524" w:type="pct"/>
            <w:tcBorders>
              <w:top w:val="single" w:color="000000" w:sz="4" w:space="0"/>
              <w:left w:val="single" w:color="000000" w:sz="4" w:space="0"/>
              <w:bottom w:val="single" w:color="000000" w:sz="4" w:space="0"/>
              <w:right w:val="single" w:color="000000" w:sz="4" w:space="0"/>
            </w:tcBorders>
            <w:noWrap w:val="0"/>
            <w:vAlign w:val="center"/>
          </w:tcPr>
          <w:p w14:paraId="15C08158">
            <w:pPr>
              <w:keepNext w:val="0"/>
              <w:keepLines w:val="0"/>
              <w:pageBreakBefore w:val="0"/>
              <w:widowControl w:val="0"/>
              <w:kinsoku/>
              <w:wordWrap/>
              <w:overflowPunct/>
              <w:topLinePunct w:val="0"/>
              <w:autoSpaceDE/>
              <w:autoSpaceDN/>
              <w:bidi w:val="0"/>
              <w:adjustRightInd/>
              <w:snapToGrid/>
              <w:spacing w:line="560" w:lineRule="exact"/>
              <w:jc w:val="center"/>
              <w:textAlignment w:val="center"/>
              <w:rPr>
                <w:rFonts w:ascii="黑体" w:hAnsi="宋体" w:eastAsia="黑体" w:cs="黑体"/>
                <w:sz w:val="32"/>
                <w:szCs w:val="32"/>
              </w:rPr>
            </w:pPr>
            <w:r>
              <w:rPr>
                <w:rFonts w:ascii="黑体" w:hAnsi="宋体" w:eastAsia="黑体" w:cs="黑体"/>
                <w:sz w:val="32"/>
                <w:szCs w:val="32"/>
                <w:lang w:bidi="ar"/>
              </w:rPr>
              <w:t>序号</w:t>
            </w:r>
          </w:p>
        </w:tc>
        <w:tc>
          <w:tcPr>
            <w:tcW w:w="1756" w:type="pct"/>
            <w:tcBorders>
              <w:top w:val="single" w:color="000000" w:sz="4" w:space="0"/>
              <w:left w:val="single" w:color="000000" w:sz="4" w:space="0"/>
              <w:bottom w:val="single" w:color="000000" w:sz="4" w:space="0"/>
              <w:right w:val="single" w:color="000000" w:sz="4" w:space="0"/>
            </w:tcBorders>
            <w:noWrap w:val="0"/>
            <w:vAlign w:val="center"/>
          </w:tcPr>
          <w:p w14:paraId="7E5D50E3">
            <w:pPr>
              <w:keepNext w:val="0"/>
              <w:keepLines w:val="0"/>
              <w:pageBreakBefore w:val="0"/>
              <w:widowControl w:val="0"/>
              <w:kinsoku/>
              <w:wordWrap/>
              <w:overflowPunct/>
              <w:topLinePunct w:val="0"/>
              <w:autoSpaceDE/>
              <w:autoSpaceDN/>
              <w:bidi w:val="0"/>
              <w:adjustRightInd/>
              <w:snapToGrid/>
              <w:spacing w:line="560" w:lineRule="exact"/>
              <w:jc w:val="center"/>
              <w:textAlignment w:val="center"/>
              <w:rPr>
                <w:rFonts w:ascii="黑体" w:hAnsi="宋体" w:eastAsia="黑体" w:cs="黑体"/>
                <w:sz w:val="32"/>
                <w:szCs w:val="32"/>
              </w:rPr>
            </w:pPr>
            <w:r>
              <w:rPr>
                <w:rFonts w:ascii="黑体" w:hAnsi="宋体" w:eastAsia="黑体" w:cs="黑体"/>
                <w:sz w:val="32"/>
                <w:szCs w:val="32"/>
                <w:lang w:bidi="ar"/>
              </w:rPr>
              <w:t>事项</w:t>
            </w:r>
          </w:p>
        </w:tc>
        <w:tc>
          <w:tcPr>
            <w:tcW w:w="2718" w:type="pct"/>
            <w:tcBorders>
              <w:top w:val="single" w:color="000000" w:sz="4" w:space="0"/>
              <w:left w:val="single" w:color="000000" w:sz="4" w:space="0"/>
              <w:bottom w:val="single" w:color="000000" w:sz="4" w:space="0"/>
              <w:right w:val="single" w:color="000000" w:sz="4" w:space="0"/>
            </w:tcBorders>
            <w:noWrap w:val="0"/>
            <w:vAlign w:val="center"/>
          </w:tcPr>
          <w:p w14:paraId="3752CD6E">
            <w:pPr>
              <w:keepNext w:val="0"/>
              <w:keepLines w:val="0"/>
              <w:pageBreakBefore w:val="0"/>
              <w:widowControl w:val="0"/>
              <w:kinsoku/>
              <w:wordWrap/>
              <w:overflowPunct/>
              <w:topLinePunct w:val="0"/>
              <w:autoSpaceDE/>
              <w:autoSpaceDN/>
              <w:bidi w:val="0"/>
              <w:adjustRightInd/>
              <w:snapToGrid/>
              <w:spacing w:line="560" w:lineRule="exact"/>
              <w:jc w:val="center"/>
              <w:textAlignment w:val="center"/>
              <w:rPr>
                <w:rFonts w:ascii="黑体" w:hAnsi="宋体" w:eastAsia="黑体" w:cs="黑体"/>
                <w:sz w:val="32"/>
                <w:szCs w:val="32"/>
              </w:rPr>
            </w:pPr>
            <w:r>
              <w:rPr>
                <w:rFonts w:ascii="黑体" w:hAnsi="宋体" w:eastAsia="黑体" w:cs="黑体"/>
                <w:sz w:val="32"/>
                <w:szCs w:val="32"/>
                <w:lang w:bidi="ar"/>
              </w:rPr>
              <w:t>适用条件</w:t>
            </w:r>
          </w:p>
        </w:tc>
      </w:tr>
      <w:tr w14:paraId="02837197">
        <w:tblPrEx>
          <w:tblCellMar>
            <w:top w:w="0" w:type="dxa"/>
            <w:left w:w="108" w:type="dxa"/>
            <w:bottom w:w="0" w:type="dxa"/>
            <w:right w:w="108" w:type="dxa"/>
          </w:tblCellMar>
        </w:tblPrEx>
        <w:trPr>
          <w:trHeight w:val="1240" w:hRule="atLeast"/>
          <w:jc w:val="center"/>
        </w:trPr>
        <w:tc>
          <w:tcPr>
            <w:tcW w:w="524" w:type="pct"/>
            <w:tcBorders>
              <w:top w:val="single" w:color="000000" w:sz="4" w:space="0"/>
              <w:left w:val="single" w:color="000000" w:sz="4" w:space="0"/>
              <w:bottom w:val="single" w:color="000000" w:sz="4" w:space="0"/>
              <w:right w:val="single" w:color="000000" w:sz="4" w:space="0"/>
            </w:tcBorders>
            <w:noWrap w:val="0"/>
            <w:vAlign w:val="center"/>
          </w:tcPr>
          <w:p w14:paraId="4449B8DF">
            <w:pPr>
              <w:keepNext w:val="0"/>
              <w:keepLines w:val="0"/>
              <w:pageBreakBefore w:val="0"/>
              <w:widowControl w:val="0"/>
              <w:kinsoku/>
              <w:wordWrap/>
              <w:overflowPunct/>
              <w:topLinePunct w:val="0"/>
              <w:autoSpaceDE/>
              <w:autoSpaceDN/>
              <w:bidi w:val="0"/>
              <w:adjustRightInd/>
              <w:snapToGrid/>
              <w:spacing w:line="560" w:lineRule="exact"/>
              <w:jc w:val="center"/>
              <w:textAlignment w:val="center"/>
              <w:rPr>
                <w:rFonts w:hint="eastAsia" w:ascii="宋体" w:hAnsi="宋体" w:cs="宋体"/>
                <w:sz w:val="28"/>
                <w:szCs w:val="28"/>
              </w:rPr>
            </w:pPr>
            <w:r>
              <w:rPr>
                <w:rFonts w:hint="eastAsia" w:ascii="宋体" w:hAnsi="宋体" w:cs="宋体"/>
                <w:sz w:val="28"/>
                <w:szCs w:val="28"/>
                <w:lang w:bidi="ar"/>
              </w:rPr>
              <w:t>1</w:t>
            </w:r>
          </w:p>
        </w:tc>
        <w:tc>
          <w:tcPr>
            <w:tcW w:w="1756" w:type="pct"/>
            <w:tcBorders>
              <w:top w:val="single" w:color="000000" w:sz="4" w:space="0"/>
              <w:left w:val="single" w:color="000000" w:sz="4" w:space="0"/>
              <w:bottom w:val="single" w:color="000000" w:sz="4" w:space="0"/>
              <w:right w:val="single" w:color="000000" w:sz="4" w:space="0"/>
            </w:tcBorders>
            <w:noWrap w:val="0"/>
            <w:vAlign w:val="center"/>
          </w:tcPr>
          <w:p w14:paraId="01A44C41">
            <w:pPr>
              <w:keepNext w:val="0"/>
              <w:keepLines w:val="0"/>
              <w:pageBreakBefore w:val="0"/>
              <w:widowControl w:val="0"/>
              <w:kinsoku/>
              <w:wordWrap/>
              <w:overflowPunct/>
              <w:topLinePunct w:val="0"/>
              <w:autoSpaceDE/>
              <w:autoSpaceDN/>
              <w:bidi w:val="0"/>
              <w:adjustRightInd/>
              <w:snapToGrid/>
              <w:spacing w:line="560" w:lineRule="exact"/>
              <w:jc w:val="left"/>
              <w:textAlignment w:val="center"/>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bidi="ar"/>
              </w:rPr>
              <w:t>纳税人未按照规定的</w:t>
            </w:r>
            <w:r>
              <w:rPr>
                <w:rFonts w:hint="eastAsia" w:ascii="仿宋_GB2312" w:hAnsi="仿宋_GB2312" w:eastAsia="仿宋_GB2312" w:cs="仿宋_GB2312"/>
                <w:color w:val="auto"/>
                <w:sz w:val="32"/>
                <w:szCs w:val="32"/>
                <w:lang w:bidi="ar"/>
              </w:rPr>
              <w:t>期限</w:t>
            </w:r>
            <w:r>
              <w:rPr>
                <w:rFonts w:hint="eastAsia" w:ascii="仿宋_GB2312" w:hAnsi="仿宋_GB2312" w:eastAsia="仿宋_GB2312" w:cs="仿宋_GB2312"/>
                <w:color w:val="auto"/>
                <w:sz w:val="32"/>
                <w:szCs w:val="32"/>
                <w:lang w:eastAsia="zh-CN" w:bidi="ar"/>
              </w:rPr>
              <w:t>申报</w:t>
            </w:r>
            <w:r>
              <w:rPr>
                <w:rFonts w:hint="eastAsia" w:ascii="仿宋_GB2312" w:hAnsi="仿宋_GB2312" w:eastAsia="仿宋_GB2312" w:cs="仿宋_GB2312"/>
                <w:color w:val="auto"/>
                <w:sz w:val="32"/>
                <w:szCs w:val="32"/>
                <w:lang w:bidi="ar"/>
              </w:rPr>
              <w:t>办理</w:t>
            </w:r>
            <w:r>
              <w:rPr>
                <w:rFonts w:hint="eastAsia" w:ascii="仿宋_GB2312" w:hAnsi="仿宋_GB2312" w:eastAsia="仿宋_GB2312" w:cs="仿宋_GB2312"/>
                <w:sz w:val="32"/>
                <w:szCs w:val="32"/>
                <w:lang w:bidi="ar"/>
              </w:rPr>
              <w:t>税务登记或者注销登记</w:t>
            </w:r>
          </w:p>
        </w:tc>
        <w:tc>
          <w:tcPr>
            <w:tcW w:w="2718" w:type="pct"/>
            <w:tcBorders>
              <w:top w:val="single" w:color="000000" w:sz="4" w:space="0"/>
              <w:left w:val="single" w:color="000000" w:sz="4" w:space="0"/>
              <w:bottom w:val="single" w:color="000000" w:sz="4" w:space="0"/>
              <w:right w:val="single" w:color="000000" w:sz="4" w:space="0"/>
            </w:tcBorders>
            <w:noWrap w:val="0"/>
            <w:vAlign w:val="center"/>
          </w:tcPr>
          <w:p w14:paraId="2C609CA7">
            <w:pPr>
              <w:keepNext w:val="0"/>
              <w:keepLines w:val="0"/>
              <w:pageBreakBefore w:val="0"/>
              <w:widowControl w:val="0"/>
              <w:kinsoku/>
              <w:wordWrap/>
              <w:overflowPunct/>
              <w:topLinePunct w:val="0"/>
              <w:autoSpaceDE/>
              <w:autoSpaceDN/>
              <w:bidi w:val="0"/>
              <w:adjustRightInd/>
              <w:snapToGrid/>
              <w:spacing w:line="560" w:lineRule="exact"/>
              <w:jc w:val="both"/>
              <w:textAlignment w:val="center"/>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bidi="ar"/>
              </w:rPr>
              <w:t>在税务机关发现前主动改正或者在税务机关责令限期改正的期限内改正，且没有造成危害后果的。</w:t>
            </w:r>
          </w:p>
        </w:tc>
      </w:tr>
      <w:tr w14:paraId="41A9A301">
        <w:tblPrEx>
          <w:tblCellMar>
            <w:top w:w="0" w:type="dxa"/>
            <w:left w:w="108" w:type="dxa"/>
            <w:bottom w:w="0" w:type="dxa"/>
            <w:right w:w="108" w:type="dxa"/>
          </w:tblCellMar>
        </w:tblPrEx>
        <w:trPr>
          <w:trHeight w:val="1240" w:hRule="atLeast"/>
          <w:jc w:val="center"/>
        </w:trPr>
        <w:tc>
          <w:tcPr>
            <w:tcW w:w="524" w:type="pct"/>
            <w:tcBorders>
              <w:top w:val="single" w:color="000000" w:sz="4" w:space="0"/>
              <w:left w:val="single" w:color="000000" w:sz="4" w:space="0"/>
              <w:bottom w:val="single" w:color="000000" w:sz="4" w:space="0"/>
              <w:right w:val="single" w:color="000000" w:sz="4" w:space="0"/>
            </w:tcBorders>
            <w:noWrap w:val="0"/>
            <w:vAlign w:val="center"/>
          </w:tcPr>
          <w:p w14:paraId="76854818">
            <w:pPr>
              <w:keepNext w:val="0"/>
              <w:keepLines w:val="0"/>
              <w:pageBreakBefore w:val="0"/>
              <w:widowControl w:val="0"/>
              <w:kinsoku/>
              <w:wordWrap/>
              <w:overflowPunct/>
              <w:topLinePunct w:val="0"/>
              <w:autoSpaceDE/>
              <w:autoSpaceDN/>
              <w:bidi w:val="0"/>
              <w:adjustRightInd/>
              <w:snapToGrid/>
              <w:spacing w:line="560" w:lineRule="exact"/>
              <w:jc w:val="center"/>
              <w:textAlignment w:val="center"/>
              <w:rPr>
                <w:rFonts w:hint="eastAsia" w:ascii="宋体" w:hAnsi="宋体" w:cs="宋体"/>
                <w:sz w:val="28"/>
                <w:szCs w:val="28"/>
              </w:rPr>
            </w:pPr>
            <w:r>
              <w:rPr>
                <w:rFonts w:hint="eastAsia" w:ascii="宋体" w:hAnsi="宋体" w:cs="宋体"/>
                <w:sz w:val="28"/>
                <w:szCs w:val="28"/>
                <w:lang w:bidi="ar"/>
              </w:rPr>
              <w:t>2</w:t>
            </w:r>
          </w:p>
        </w:tc>
        <w:tc>
          <w:tcPr>
            <w:tcW w:w="1756" w:type="pct"/>
            <w:tcBorders>
              <w:top w:val="single" w:color="000000" w:sz="4" w:space="0"/>
              <w:left w:val="single" w:color="000000" w:sz="4" w:space="0"/>
              <w:bottom w:val="single" w:color="000000" w:sz="4" w:space="0"/>
              <w:right w:val="single" w:color="000000" w:sz="4" w:space="0"/>
            </w:tcBorders>
            <w:noWrap w:val="0"/>
            <w:vAlign w:val="center"/>
          </w:tcPr>
          <w:p w14:paraId="389280FF">
            <w:pPr>
              <w:keepNext w:val="0"/>
              <w:keepLines w:val="0"/>
              <w:pageBreakBefore w:val="0"/>
              <w:widowControl w:val="0"/>
              <w:kinsoku/>
              <w:wordWrap/>
              <w:overflowPunct/>
              <w:topLinePunct w:val="0"/>
              <w:autoSpaceDE/>
              <w:autoSpaceDN/>
              <w:bidi w:val="0"/>
              <w:adjustRightInd/>
              <w:snapToGrid/>
              <w:spacing w:line="560" w:lineRule="exact"/>
              <w:textAlignment w:val="cente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纳税人未按照规定的期限变更税务登记</w:t>
            </w:r>
          </w:p>
        </w:tc>
        <w:tc>
          <w:tcPr>
            <w:tcW w:w="2718" w:type="pct"/>
            <w:tcBorders>
              <w:top w:val="single" w:color="000000" w:sz="4" w:space="0"/>
              <w:left w:val="single" w:color="000000" w:sz="4" w:space="0"/>
              <w:bottom w:val="single" w:color="000000" w:sz="4" w:space="0"/>
              <w:right w:val="single" w:color="000000" w:sz="4" w:space="0"/>
            </w:tcBorders>
            <w:noWrap w:val="0"/>
            <w:vAlign w:val="center"/>
          </w:tcPr>
          <w:p w14:paraId="657F20C3">
            <w:pPr>
              <w:keepNext w:val="0"/>
              <w:keepLines w:val="0"/>
              <w:pageBreakBefore w:val="0"/>
              <w:widowControl w:val="0"/>
              <w:kinsoku/>
              <w:wordWrap/>
              <w:overflowPunct/>
              <w:topLinePunct w:val="0"/>
              <w:autoSpaceDE/>
              <w:autoSpaceDN/>
              <w:bidi w:val="0"/>
              <w:adjustRightInd/>
              <w:snapToGrid/>
              <w:spacing w:line="560" w:lineRule="exact"/>
              <w:jc w:val="both"/>
              <w:textAlignment w:val="cente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在税务机关发现前主动改正或者在税务机关责令限期改正的期限内改正，且没有造成危害后果的。</w:t>
            </w:r>
          </w:p>
        </w:tc>
      </w:tr>
      <w:tr w14:paraId="1CB48BC0">
        <w:tblPrEx>
          <w:tblCellMar>
            <w:top w:w="0" w:type="dxa"/>
            <w:left w:w="108" w:type="dxa"/>
            <w:bottom w:w="0" w:type="dxa"/>
            <w:right w:w="108" w:type="dxa"/>
          </w:tblCellMar>
        </w:tblPrEx>
        <w:trPr>
          <w:trHeight w:val="2186" w:hRule="atLeast"/>
          <w:jc w:val="center"/>
        </w:trPr>
        <w:tc>
          <w:tcPr>
            <w:tcW w:w="524" w:type="pct"/>
            <w:tcBorders>
              <w:top w:val="single" w:color="000000" w:sz="4" w:space="0"/>
              <w:left w:val="single" w:color="000000" w:sz="4" w:space="0"/>
              <w:bottom w:val="single" w:color="000000" w:sz="4" w:space="0"/>
              <w:right w:val="single" w:color="000000" w:sz="4" w:space="0"/>
            </w:tcBorders>
            <w:noWrap w:val="0"/>
            <w:vAlign w:val="center"/>
          </w:tcPr>
          <w:p w14:paraId="07E07EA1">
            <w:pPr>
              <w:keepNext w:val="0"/>
              <w:keepLines w:val="0"/>
              <w:pageBreakBefore w:val="0"/>
              <w:widowControl w:val="0"/>
              <w:kinsoku/>
              <w:wordWrap/>
              <w:overflowPunct/>
              <w:topLinePunct w:val="0"/>
              <w:autoSpaceDE/>
              <w:autoSpaceDN/>
              <w:bidi w:val="0"/>
              <w:adjustRightInd/>
              <w:snapToGrid/>
              <w:spacing w:line="560" w:lineRule="exact"/>
              <w:jc w:val="center"/>
              <w:textAlignment w:val="center"/>
              <w:rPr>
                <w:rFonts w:hint="eastAsia" w:ascii="宋体" w:hAnsi="宋体" w:cs="宋体"/>
                <w:sz w:val="28"/>
                <w:szCs w:val="28"/>
              </w:rPr>
            </w:pPr>
            <w:r>
              <w:rPr>
                <w:rFonts w:hint="eastAsia" w:ascii="宋体" w:hAnsi="宋体" w:cs="宋体"/>
                <w:sz w:val="28"/>
                <w:szCs w:val="28"/>
                <w:lang w:bidi="ar"/>
              </w:rPr>
              <w:t>3</w:t>
            </w:r>
          </w:p>
        </w:tc>
        <w:tc>
          <w:tcPr>
            <w:tcW w:w="1756" w:type="pct"/>
            <w:tcBorders>
              <w:top w:val="single" w:color="000000" w:sz="4" w:space="0"/>
              <w:left w:val="single" w:color="000000" w:sz="4" w:space="0"/>
              <w:bottom w:val="single" w:color="000000" w:sz="4" w:space="0"/>
              <w:right w:val="single" w:color="000000" w:sz="4" w:space="0"/>
            </w:tcBorders>
            <w:noWrap w:val="0"/>
            <w:vAlign w:val="center"/>
          </w:tcPr>
          <w:p w14:paraId="230EA8C5">
            <w:pPr>
              <w:keepNext w:val="0"/>
              <w:keepLines w:val="0"/>
              <w:pageBreakBefore w:val="0"/>
              <w:widowControl w:val="0"/>
              <w:kinsoku/>
              <w:wordWrap/>
              <w:overflowPunct/>
              <w:topLinePunct w:val="0"/>
              <w:autoSpaceDE/>
              <w:autoSpaceDN/>
              <w:bidi w:val="0"/>
              <w:adjustRightInd/>
              <w:snapToGrid/>
              <w:spacing w:line="560" w:lineRule="exact"/>
              <w:jc w:val="left"/>
              <w:textAlignment w:val="center"/>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bidi="ar"/>
              </w:rPr>
              <w:t>纳税人不办理税务登记</w:t>
            </w:r>
          </w:p>
        </w:tc>
        <w:tc>
          <w:tcPr>
            <w:tcW w:w="2718" w:type="pct"/>
            <w:tcBorders>
              <w:top w:val="single" w:color="000000" w:sz="4" w:space="0"/>
              <w:left w:val="single" w:color="000000" w:sz="4" w:space="0"/>
              <w:bottom w:val="single" w:color="000000" w:sz="4" w:space="0"/>
              <w:right w:val="single" w:color="000000" w:sz="4" w:space="0"/>
            </w:tcBorders>
            <w:noWrap w:val="0"/>
            <w:vAlign w:val="center"/>
          </w:tcPr>
          <w:p w14:paraId="6586FE9C">
            <w:pPr>
              <w:keepNext w:val="0"/>
              <w:keepLines w:val="0"/>
              <w:pageBreakBefore w:val="0"/>
              <w:widowControl w:val="0"/>
              <w:kinsoku/>
              <w:wordWrap/>
              <w:overflowPunct/>
              <w:topLinePunct w:val="0"/>
              <w:autoSpaceDE/>
              <w:autoSpaceDN/>
              <w:bidi w:val="0"/>
              <w:adjustRightInd/>
              <w:snapToGrid/>
              <w:spacing w:line="560" w:lineRule="exact"/>
              <w:jc w:val="both"/>
              <w:textAlignment w:val="center"/>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bidi="ar"/>
              </w:rPr>
              <w:t>在税务机关发现前主动改正或者在税务机关责令限期改正的期限内改正，且没有造成危害后果的。</w:t>
            </w:r>
          </w:p>
        </w:tc>
      </w:tr>
      <w:tr w14:paraId="6BF7414C">
        <w:tblPrEx>
          <w:tblCellMar>
            <w:top w:w="0" w:type="dxa"/>
            <w:left w:w="108" w:type="dxa"/>
            <w:bottom w:w="0" w:type="dxa"/>
            <w:right w:w="108" w:type="dxa"/>
          </w:tblCellMar>
        </w:tblPrEx>
        <w:trPr>
          <w:trHeight w:val="500" w:hRule="atLeast"/>
          <w:jc w:val="center"/>
        </w:trPr>
        <w:tc>
          <w:tcPr>
            <w:tcW w:w="524" w:type="pct"/>
            <w:tcBorders>
              <w:top w:val="single" w:color="000000" w:sz="4" w:space="0"/>
              <w:left w:val="single" w:color="000000" w:sz="4" w:space="0"/>
              <w:bottom w:val="single" w:color="000000" w:sz="4" w:space="0"/>
              <w:right w:val="single" w:color="000000" w:sz="4" w:space="0"/>
            </w:tcBorders>
            <w:noWrap w:val="0"/>
            <w:vAlign w:val="center"/>
          </w:tcPr>
          <w:p w14:paraId="4D07503E">
            <w:pPr>
              <w:keepNext w:val="0"/>
              <w:keepLines w:val="0"/>
              <w:pageBreakBefore w:val="0"/>
              <w:widowControl w:val="0"/>
              <w:kinsoku/>
              <w:wordWrap/>
              <w:overflowPunct/>
              <w:topLinePunct w:val="0"/>
              <w:autoSpaceDE/>
              <w:autoSpaceDN/>
              <w:bidi w:val="0"/>
              <w:adjustRightInd/>
              <w:snapToGrid/>
              <w:spacing w:line="560" w:lineRule="exact"/>
              <w:jc w:val="center"/>
              <w:textAlignment w:val="center"/>
              <w:rPr>
                <w:rFonts w:hint="eastAsia" w:ascii="宋体" w:hAnsi="宋体" w:cs="宋体"/>
                <w:sz w:val="28"/>
                <w:szCs w:val="28"/>
              </w:rPr>
            </w:pPr>
            <w:r>
              <w:rPr>
                <w:rFonts w:hint="eastAsia" w:ascii="宋体" w:hAnsi="宋体" w:cs="宋体"/>
                <w:sz w:val="28"/>
                <w:szCs w:val="28"/>
                <w:lang w:bidi="ar"/>
              </w:rPr>
              <w:t>4</w:t>
            </w:r>
          </w:p>
        </w:tc>
        <w:tc>
          <w:tcPr>
            <w:tcW w:w="1756" w:type="pct"/>
            <w:tcBorders>
              <w:top w:val="single" w:color="000000" w:sz="4" w:space="0"/>
              <w:left w:val="single" w:color="000000" w:sz="4" w:space="0"/>
              <w:bottom w:val="single" w:color="000000" w:sz="4" w:space="0"/>
              <w:right w:val="single" w:color="000000" w:sz="4" w:space="0"/>
            </w:tcBorders>
            <w:noWrap/>
            <w:vAlign w:val="center"/>
          </w:tcPr>
          <w:p w14:paraId="56EB2F17">
            <w:pPr>
              <w:keepNext w:val="0"/>
              <w:keepLines w:val="0"/>
              <w:pageBreakBefore w:val="0"/>
              <w:widowControl w:val="0"/>
              <w:kinsoku/>
              <w:wordWrap/>
              <w:overflowPunct/>
              <w:topLinePunct w:val="0"/>
              <w:autoSpaceDE/>
              <w:autoSpaceDN/>
              <w:bidi w:val="0"/>
              <w:adjustRightInd/>
              <w:snapToGrid/>
              <w:spacing w:line="560" w:lineRule="exact"/>
              <w:textAlignment w:val="center"/>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bidi="ar"/>
              </w:rPr>
              <w:t>扣缴义务人未按照规定办理扣缴税款登记</w:t>
            </w:r>
          </w:p>
        </w:tc>
        <w:tc>
          <w:tcPr>
            <w:tcW w:w="2718" w:type="pct"/>
            <w:tcBorders>
              <w:top w:val="single" w:color="000000" w:sz="4" w:space="0"/>
              <w:left w:val="single" w:color="000000" w:sz="4" w:space="0"/>
              <w:bottom w:val="single" w:color="000000" w:sz="4" w:space="0"/>
              <w:right w:val="single" w:color="000000" w:sz="4" w:space="0"/>
            </w:tcBorders>
            <w:noWrap w:val="0"/>
            <w:vAlign w:val="center"/>
          </w:tcPr>
          <w:p w14:paraId="6C61B903">
            <w:pPr>
              <w:keepNext w:val="0"/>
              <w:keepLines w:val="0"/>
              <w:pageBreakBefore w:val="0"/>
              <w:widowControl w:val="0"/>
              <w:kinsoku/>
              <w:wordWrap/>
              <w:overflowPunct/>
              <w:topLinePunct w:val="0"/>
              <w:autoSpaceDE/>
              <w:autoSpaceDN/>
              <w:bidi w:val="0"/>
              <w:adjustRightInd/>
              <w:snapToGrid/>
              <w:spacing w:line="560" w:lineRule="exact"/>
              <w:jc w:val="both"/>
              <w:textAlignment w:val="center"/>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bidi="ar"/>
              </w:rPr>
              <w:t>在税务机关发现前主动改正或者在税务机关责令限期改正的期限内改正，且没有造成危害后果的。</w:t>
            </w:r>
          </w:p>
        </w:tc>
      </w:tr>
      <w:tr w14:paraId="477560C4">
        <w:tblPrEx>
          <w:tblCellMar>
            <w:top w:w="0" w:type="dxa"/>
            <w:left w:w="108" w:type="dxa"/>
            <w:bottom w:w="0" w:type="dxa"/>
            <w:right w:w="108" w:type="dxa"/>
          </w:tblCellMar>
        </w:tblPrEx>
        <w:trPr>
          <w:trHeight w:val="1880" w:hRule="atLeast"/>
          <w:jc w:val="center"/>
        </w:trPr>
        <w:tc>
          <w:tcPr>
            <w:tcW w:w="524" w:type="pct"/>
            <w:tcBorders>
              <w:top w:val="single" w:color="000000" w:sz="4" w:space="0"/>
              <w:left w:val="single" w:color="000000" w:sz="4" w:space="0"/>
              <w:bottom w:val="single" w:color="000000" w:sz="4" w:space="0"/>
              <w:right w:val="single" w:color="000000" w:sz="4" w:space="0"/>
            </w:tcBorders>
            <w:noWrap w:val="0"/>
            <w:vAlign w:val="center"/>
          </w:tcPr>
          <w:p w14:paraId="5DB3C793">
            <w:pPr>
              <w:keepNext w:val="0"/>
              <w:keepLines w:val="0"/>
              <w:pageBreakBefore w:val="0"/>
              <w:widowControl w:val="0"/>
              <w:kinsoku/>
              <w:wordWrap/>
              <w:overflowPunct/>
              <w:topLinePunct w:val="0"/>
              <w:autoSpaceDE/>
              <w:autoSpaceDN/>
              <w:bidi w:val="0"/>
              <w:adjustRightInd/>
              <w:snapToGrid/>
              <w:spacing w:line="560" w:lineRule="exact"/>
              <w:jc w:val="center"/>
              <w:textAlignment w:val="center"/>
              <w:rPr>
                <w:rFonts w:hint="eastAsia" w:ascii="宋体" w:hAnsi="宋体" w:cs="宋体"/>
                <w:sz w:val="28"/>
                <w:szCs w:val="28"/>
              </w:rPr>
            </w:pPr>
            <w:r>
              <w:rPr>
                <w:rFonts w:hint="eastAsia" w:ascii="宋体" w:hAnsi="宋体" w:cs="宋体"/>
                <w:sz w:val="28"/>
                <w:szCs w:val="28"/>
                <w:lang w:bidi="ar"/>
              </w:rPr>
              <w:t>5</w:t>
            </w:r>
          </w:p>
        </w:tc>
        <w:tc>
          <w:tcPr>
            <w:tcW w:w="1756" w:type="pct"/>
            <w:tcBorders>
              <w:top w:val="single" w:color="000000" w:sz="4" w:space="0"/>
              <w:left w:val="single" w:color="000000" w:sz="4" w:space="0"/>
              <w:bottom w:val="single" w:color="000000" w:sz="4" w:space="0"/>
              <w:right w:val="single" w:color="000000" w:sz="4" w:space="0"/>
            </w:tcBorders>
            <w:noWrap w:val="0"/>
            <w:vAlign w:val="center"/>
          </w:tcPr>
          <w:p w14:paraId="11A1FC70">
            <w:pPr>
              <w:keepNext w:val="0"/>
              <w:keepLines w:val="0"/>
              <w:pageBreakBefore w:val="0"/>
              <w:widowControl w:val="0"/>
              <w:kinsoku/>
              <w:wordWrap/>
              <w:overflowPunct/>
              <w:topLinePunct w:val="0"/>
              <w:autoSpaceDE/>
              <w:autoSpaceDN/>
              <w:bidi w:val="0"/>
              <w:adjustRightInd/>
              <w:snapToGrid/>
              <w:spacing w:line="560" w:lineRule="exact"/>
              <w:textAlignment w:val="center"/>
              <w:rPr>
                <w:rFonts w:hint="eastAsia" w:ascii="仿宋_GB2312" w:hAnsi="仿宋_GB2312" w:eastAsia="仿宋_GB2312" w:cs="仿宋_GB2312"/>
                <w:sz w:val="32"/>
                <w:szCs w:val="32"/>
              </w:rPr>
            </w:pPr>
            <w:r>
              <w:rPr>
                <w:rFonts w:hint="eastAsia" w:ascii="仿宋_GB2312" w:hAnsi="仿宋_GB2312" w:eastAsia="仿宋_GB2312" w:cs="仿宋_GB2312"/>
                <w:color w:val="auto"/>
                <w:sz w:val="32"/>
                <w:szCs w:val="32"/>
                <w:lang w:bidi="ar"/>
              </w:rPr>
              <w:t>纳税人未按</w:t>
            </w:r>
            <w:r>
              <w:rPr>
                <w:rFonts w:hint="eastAsia" w:ascii="仿宋_GB2312" w:hAnsi="仿宋_GB2312" w:eastAsia="仿宋_GB2312" w:cs="仿宋_GB2312"/>
                <w:color w:val="auto"/>
                <w:sz w:val="32"/>
                <w:szCs w:val="32"/>
                <w:lang w:eastAsia="zh-CN" w:bidi="ar"/>
              </w:rPr>
              <w:t>照</w:t>
            </w:r>
            <w:r>
              <w:rPr>
                <w:rFonts w:hint="eastAsia" w:ascii="仿宋_GB2312" w:hAnsi="仿宋_GB2312" w:eastAsia="仿宋_GB2312" w:cs="仿宋_GB2312"/>
                <w:color w:val="auto"/>
                <w:sz w:val="32"/>
                <w:szCs w:val="32"/>
                <w:lang w:bidi="ar"/>
              </w:rPr>
              <w:t>规</w:t>
            </w:r>
            <w:r>
              <w:rPr>
                <w:rFonts w:hint="eastAsia" w:ascii="仿宋_GB2312" w:hAnsi="仿宋_GB2312" w:eastAsia="仿宋_GB2312" w:cs="仿宋_GB2312"/>
                <w:sz w:val="32"/>
                <w:szCs w:val="32"/>
                <w:lang w:bidi="ar"/>
              </w:rPr>
              <w:t>定安装、使用税控装置</w:t>
            </w:r>
          </w:p>
        </w:tc>
        <w:tc>
          <w:tcPr>
            <w:tcW w:w="2718" w:type="pct"/>
            <w:tcBorders>
              <w:top w:val="single" w:color="000000" w:sz="4" w:space="0"/>
              <w:left w:val="single" w:color="000000" w:sz="4" w:space="0"/>
              <w:bottom w:val="single" w:color="000000" w:sz="4" w:space="0"/>
              <w:right w:val="single" w:color="000000" w:sz="4" w:space="0"/>
            </w:tcBorders>
            <w:noWrap w:val="0"/>
            <w:vAlign w:val="center"/>
          </w:tcPr>
          <w:p w14:paraId="07C94B63">
            <w:pPr>
              <w:keepNext w:val="0"/>
              <w:keepLines w:val="0"/>
              <w:pageBreakBefore w:val="0"/>
              <w:widowControl w:val="0"/>
              <w:kinsoku/>
              <w:wordWrap/>
              <w:overflowPunct/>
              <w:topLinePunct w:val="0"/>
              <w:autoSpaceDE/>
              <w:autoSpaceDN/>
              <w:bidi w:val="0"/>
              <w:adjustRightInd/>
              <w:snapToGrid/>
              <w:spacing w:line="560" w:lineRule="exact"/>
              <w:jc w:val="both"/>
              <w:textAlignment w:val="center"/>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bidi="ar"/>
              </w:rPr>
              <w:t>在税务机关发现前主动改正或者在税务机关责令限期改正的期限内改正，且没有造成危害后果的。</w:t>
            </w:r>
          </w:p>
        </w:tc>
      </w:tr>
      <w:tr w14:paraId="3F20C349">
        <w:tblPrEx>
          <w:tblCellMar>
            <w:top w:w="0" w:type="dxa"/>
            <w:left w:w="108" w:type="dxa"/>
            <w:bottom w:w="0" w:type="dxa"/>
            <w:right w:w="108" w:type="dxa"/>
          </w:tblCellMar>
        </w:tblPrEx>
        <w:trPr>
          <w:trHeight w:val="1240" w:hRule="atLeast"/>
          <w:jc w:val="center"/>
        </w:trPr>
        <w:tc>
          <w:tcPr>
            <w:tcW w:w="524" w:type="pct"/>
            <w:tcBorders>
              <w:top w:val="single" w:color="000000" w:sz="4" w:space="0"/>
              <w:left w:val="single" w:color="000000" w:sz="4" w:space="0"/>
              <w:bottom w:val="single" w:color="000000" w:sz="4" w:space="0"/>
              <w:right w:val="single" w:color="000000" w:sz="4" w:space="0"/>
            </w:tcBorders>
            <w:noWrap w:val="0"/>
            <w:vAlign w:val="center"/>
          </w:tcPr>
          <w:p w14:paraId="227E6E2B">
            <w:pPr>
              <w:keepNext w:val="0"/>
              <w:keepLines w:val="0"/>
              <w:pageBreakBefore w:val="0"/>
              <w:widowControl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sz w:val="28"/>
                <w:szCs w:val="28"/>
                <w:lang w:val="en-US" w:eastAsia="zh-CN"/>
              </w:rPr>
            </w:pPr>
            <w:r>
              <w:rPr>
                <w:rFonts w:hint="eastAsia" w:ascii="宋体" w:hAnsi="宋体" w:cs="宋体"/>
                <w:sz w:val="28"/>
                <w:szCs w:val="28"/>
                <w:lang w:val="en-US" w:eastAsia="zh-CN"/>
              </w:rPr>
              <w:t>6</w:t>
            </w:r>
          </w:p>
        </w:tc>
        <w:tc>
          <w:tcPr>
            <w:tcW w:w="1756" w:type="pct"/>
            <w:tcBorders>
              <w:top w:val="single" w:color="000000" w:sz="4" w:space="0"/>
              <w:left w:val="single" w:color="000000" w:sz="4" w:space="0"/>
              <w:bottom w:val="single" w:color="000000" w:sz="4" w:space="0"/>
              <w:right w:val="single" w:color="000000" w:sz="4" w:space="0"/>
            </w:tcBorders>
            <w:noWrap w:val="0"/>
            <w:vAlign w:val="center"/>
          </w:tcPr>
          <w:p w14:paraId="7C718D15">
            <w:pPr>
              <w:keepNext w:val="0"/>
              <w:keepLines w:val="0"/>
              <w:pageBreakBefore w:val="0"/>
              <w:widowControl w:val="0"/>
              <w:kinsoku/>
              <w:wordWrap/>
              <w:overflowPunct/>
              <w:topLinePunct w:val="0"/>
              <w:autoSpaceDE/>
              <w:autoSpaceDN/>
              <w:bidi w:val="0"/>
              <w:adjustRightInd/>
              <w:snapToGrid/>
              <w:spacing w:line="560" w:lineRule="exact"/>
              <w:jc w:val="left"/>
              <w:textAlignment w:val="center"/>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bidi="ar"/>
              </w:rPr>
              <w:t>未按照规定存放和保管发票</w:t>
            </w:r>
          </w:p>
        </w:tc>
        <w:tc>
          <w:tcPr>
            <w:tcW w:w="2718" w:type="pct"/>
            <w:tcBorders>
              <w:top w:val="single" w:color="000000" w:sz="4" w:space="0"/>
              <w:left w:val="single" w:color="000000" w:sz="4" w:space="0"/>
              <w:bottom w:val="single" w:color="000000" w:sz="4" w:space="0"/>
              <w:right w:val="single" w:color="000000" w:sz="4" w:space="0"/>
            </w:tcBorders>
            <w:noWrap w:val="0"/>
            <w:vAlign w:val="center"/>
          </w:tcPr>
          <w:p w14:paraId="09C166DC">
            <w:pPr>
              <w:keepNext w:val="0"/>
              <w:keepLines w:val="0"/>
              <w:pageBreakBefore w:val="0"/>
              <w:widowControl w:val="0"/>
              <w:kinsoku/>
              <w:wordWrap/>
              <w:overflowPunct/>
              <w:topLinePunct w:val="0"/>
              <w:autoSpaceDE/>
              <w:autoSpaceDN/>
              <w:bidi w:val="0"/>
              <w:adjustRightInd/>
              <w:snapToGrid/>
              <w:spacing w:line="560" w:lineRule="exact"/>
              <w:jc w:val="both"/>
              <w:textAlignment w:val="center"/>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bidi="ar"/>
              </w:rPr>
              <w:t>涉及发票25份以下，并在税务机关发现前主动改正或者在税务机关责令限期改正的期限内改正，且没有造成危害后果的。</w:t>
            </w:r>
          </w:p>
        </w:tc>
      </w:tr>
      <w:tr w14:paraId="053E83EF">
        <w:tblPrEx>
          <w:tblCellMar>
            <w:top w:w="0" w:type="dxa"/>
            <w:left w:w="108" w:type="dxa"/>
            <w:bottom w:w="0" w:type="dxa"/>
            <w:right w:w="108" w:type="dxa"/>
          </w:tblCellMar>
        </w:tblPrEx>
        <w:trPr>
          <w:trHeight w:val="1240" w:hRule="atLeast"/>
          <w:jc w:val="center"/>
        </w:trPr>
        <w:tc>
          <w:tcPr>
            <w:tcW w:w="524" w:type="pct"/>
            <w:tcBorders>
              <w:top w:val="single" w:color="000000" w:sz="4" w:space="0"/>
              <w:left w:val="single" w:color="000000" w:sz="4" w:space="0"/>
              <w:bottom w:val="single" w:color="000000" w:sz="4" w:space="0"/>
              <w:right w:val="single" w:color="000000" w:sz="4" w:space="0"/>
            </w:tcBorders>
            <w:noWrap w:val="0"/>
            <w:vAlign w:val="center"/>
          </w:tcPr>
          <w:p w14:paraId="6BAE73CE">
            <w:pPr>
              <w:keepNext w:val="0"/>
              <w:keepLines w:val="0"/>
              <w:pageBreakBefore w:val="0"/>
              <w:widowControl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sz w:val="28"/>
                <w:szCs w:val="28"/>
                <w:lang w:eastAsia="zh-CN"/>
              </w:rPr>
            </w:pPr>
            <w:r>
              <w:rPr>
                <w:rFonts w:hint="eastAsia" w:ascii="宋体" w:hAnsi="宋体" w:cs="宋体"/>
                <w:sz w:val="28"/>
                <w:szCs w:val="28"/>
                <w:lang w:val="en-US" w:eastAsia="zh-CN"/>
              </w:rPr>
              <w:t>7</w:t>
            </w:r>
          </w:p>
        </w:tc>
        <w:tc>
          <w:tcPr>
            <w:tcW w:w="1756" w:type="pct"/>
            <w:tcBorders>
              <w:top w:val="single" w:color="000000" w:sz="4" w:space="0"/>
              <w:left w:val="single" w:color="000000" w:sz="4" w:space="0"/>
              <w:bottom w:val="single" w:color="000000" w:sz="4" w:space="0"/>
              <w:right w:val="single" w:color="000000" w:sz="4" w:space="0"/>
            </w:tcBorders>
            <w:noWrap w:val="0"/>
            <w:vAlign w:val="center"/>
          </w:tcPr>
          <w:p w14:paraId="4FE4D572">
            <w:pPr>
              <w:keepNext w:val="0"/>
              <w:keepLines w:val="0"/>
              <w:pageBreakBefore w:val="0"/>
              <w:widowControl w:val="0"/>
              <w:kinsoku/>
              <w:wordWrap/>
              <w:overflowPunct/>
              <w:topLinePunct w:val="0"/>
              <w:autoSpaceDE/>
              <w:autoSpaceDN/>
              <w:bidi w:val="0"/>
              <w:adjustRightInd/>
              <w:snapToGrid/>
              <w:spacing w:line="560" w:lineRule="exact"/>
              <w:jc w:val="left"/>
              <w:textAlignment w:val="center"/>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bidi="ar"/>
              </w:rPr>
              <w:t>丢失发票</w:t>
            </w:r>
          </w:p>
        </w:tc>
        <w:tc>
          <w:tcPr>
            <w:tcW w:w="2718" w:type="pct"/>
            <w:tcBorders>
              <w:top w:val="single" w:color="000000" w:sz="4" w:space="0"/>
              <w:left w:val="single" w:color="000000" w:sz="4" w:space="0"/>
              <w:bottom w:val="single" w:color="000000" w:sz="4" w:space="0"/>
              <w:right w:val="single" w:color="000000" w:sz="4" w:space="0"/>
            </w:tcBorders>
            <w:noWrap w:val="0"/>
            <w:vAlign w:val="center"/>
          </w:tcPr>
          <w:p w14:paraId="16D5F186">
            <w:pPr>
              <w:keepNext w:val="0"/>
              <w:keepLines w:val="0"/>
              <w:pageBreakBefore w:val="0"/>
              <w:widowControl w:val="0"/>
              <w:kinsoku/>
              <w:wordWrap/>
              <w:overflowPunct/>
              <w:topLinePunct w:val="0"/>
              <w:autoSpaceDE/>
              <w:autoSpaceDN/>
              <w:bidi w:val="0"/>
              <w:adjustRightInd/>
              <w:snapToGrid/>
              <w:spacing w:line="560" w:lineRule="exact"/>
              <w:jc w:val="both"/>
              <w:textAlignment w:val="center"/>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bidi="ar"/>
              </w:rPr>
              <w:t>丢失的发票属于已明文规定失效、开票系统已实际停止使用或者纳入信息化管理（包括发票信息已上传或者在线上开具）的发票等，主动向税务机关报告并采取补救措施，且没有造成危害后果的。</w:t>
            </w:r>
          </w:p>
        </w:tc>
      </w:tr>
      <w:tr w14:paraId="24F1C8EA">
        <w:tblPrEx>
          <w:tblCellMar>
            <w:top w:w="0" w:type="dxa"/>
            <w:left w:w="108" w:type="dxa"/>
            <w:bottom w:w="0" w:type="dxa"/>
            <w:right w:w="108" w:type="dxa"/>
          </w:tblCellMar>
        </w:tblPrEx>
        <w:trPr>
          <w:trHeight w:val="1240" w:hRule="atLeast"/>
          <w:jc w:val="center"/>
        </w:trPr>
        <w:tc>
          <w:tcPr>
            <w:tcW w:w="524" w:type="pct"/>
            <w:tcBorders>
              <w:top w:val="single" w:color="000000" w:sz="4" w:space="0"/>
              <w:left w:val="single" w:color="000000" w:sz="4" w:space="0"/>
              <w:bottom w:val="single" w:color="000000" w:sz="4" w:space="0"/>
              <w:right w:val="single" w:color="000000" w:sz="4" w:space="0"/>
            </w:tcBorders>
            <w:noWrap w:val="0"/>
            <w:vAlign w:val="center"/>
          </w:tcPr>
          <w:p w14:paraId="4F66D7AC">
            <w:pPr>
              <w:keepNext w:val="0"/>
              <w:keepLines w:val="0"/>
              <w:pageBreakBefore w:val="0"/>
              <w:widowControl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sz w:val="28"/>
                <w:szCs w:val="28"/>
                <w:lang w:eastAsia="zh-CN"/>
              </w:rPr>
            </w:pPr>
            <w:r>
              <w:rPr>
                <w:rFonts w:hint="eastAsia" w:ascii="宋体" w:hAnsi="宋体" w:cs="宋体"/>
                <w:sz w:val="28"/>
                <w:szCs w:val="28"/>
                <w:lang w:val="en-US" w:eastAsia="zh-CN"/>
              </w:rPr>
              <w:t>8</w:t>
            </w:r>
          </w:p>
        </w:tc>
        <w:tc>
          <w:tcPr>
            <w:tcW w:w="1756" w:type="pct"/>
            <w:tcBorders>
              <w:top w:val="single" w:color="000000" w:sz="4" w:space="0"/>
              <w:left w:val="single" w:color="000000" w:sz="4" w:space="0"/>
              <w:bottom w:val="single" w:color="000000" w:sz="4" w:space="0"/>
              <w:right w:val="single" w:color="000000" w:sz="4" w:space="0"/>
            </w:tcBorders>
            <w:noWrap w:val="0"/>
            <w:vAlign w:val="center"/>
          </w:tcPr>
          <w:p w14:paraId="788FE517">
            <w:pPr>
              <w:keepNext w:val="0"/>
              <w:keepLines w:val="0"/>
              <w:pageBreakBefore w:val="0"/>
              <w:widowControl w:val="0"/>
              <w:kinsoku/>
              <w:wordWrap/>
              <w:overflowPunct/>
              <w:topLinePunct w:val="0"/>
              <w:autoSpaceDE/>
              <w:autoSpaceDN/>
              <w:bidi w:val="0"/>
              <w:adjustRightInd/>
              <w:snapToGrid/>
              <w:spacing w:line="560" w:lineRule="exact"/>
              <w:jc w:val="left"/>
              <w:textAlignment w:val="center"/>
              <w:rPr>
                <w:rFonts w:hint="eastAsia" w:ascii="仿宋_GB2312" w:hAnsi="仿宋_GB2312" w:eastAsia="仿宋_GB2312" w:cs="仿宋_GB2312"/>
                <w:sz w:val="32"/>
                <w:szCs w:val="32"/>
                <w:lang w:bidi="ar"/>
              </w:rPr>
            </w:pPr>
            <w:r>
              <w:rPr>
                <w:rFonts w:hint="eastAsia" w:ascii="仿宋_GB2312" w:hAnsi="仿宋_GB2312" w:eastAsia="仿宋_GB2312" w:cs="仿宋_GB2312"/>
                <w:sz w:val="32"/>
                <w:szCs w:val="32"/>
                <w:lang w:bidi="ar"/>
              </w:rPr>
              <w:t>互联网平台企业未按规定报送涉税信息</w:t>
            </w:r>
          </w:p>
        </w:tc>
        <w:tc>
          <w:tcPr>
            <w:tcW w:w="2718" w:type="pct"/>
            <w:tcBorders>
              <w:top w:val="single" w:color="000000" w:sz="4" w:space="0"/>
              <w:left w:val="single" w:color="000000" w:sz="4" w:space="0"/>
              <w:bottom w:val="single" w:color="000000" w:sz="4" w:space="0"/>
              <w:right w:val="single" w:color="000000" w:sz="4" w:space="0"/>
            </w:tcBorders>
            <w:noWrap w:val="0"/>
            <w:vAlign w:val="center"/>
          </w:tcPr>
          <w:p w14:paraId="1E3EE192">
            <w:pPr>
              <w:keepNext w:val="0"/>
              <w:keepLines w:val="0"/>
              <w:pageBreakBefore w:val="0"/>
              <w:widowControl w:val="0"/>
              <w:kinsoku/>
              <w:wordWrap/>
              <w:overflowPunct/>
              <w:topLinePunct w:val="0"/>
              <w:autoSpaceDE/>
              <w:autoSpaceDN/>
              <w:bidi w:val="0"/>
              <w:adjustRightInd/>
              <w:snapToGrid/>
              <w:spacing w:line="560" w:lineRule="exact"/>
              <w:jc w:val="both"/>
              <w:textAlignment w:val="center"/>
              <w:rPr>
                <w:rFonts w:hint="eastAsia" w:ascii="仿宋_GB2312" w:hAnsi="仿宋_GB2312" w:eastAsia="仿宋_GB2312" w:cs="仿宋_GB2312"/>
                <w:sz w:val="32"/>
                <w:szCs w:val="32"/>
                <w:lang w:bidi="ar"/>
              </w:rPr>
            </w:pPr>
            <w:r>
              <w:rPr>
                <w:rFonts w:hint="eastAsia" w:ascii="仿宋_GB2312" w:hAnsi="仿宋_GB2312" w:eastAsia="仿宋_GB2312" w:cs="仿宋_GB2312"/>
                <w:sz w:val="32"/>
                <w:szCs w:val="32"/>
                <w:lang w:bidi="ar"/>
              </w:rPr>
              <w:t>在税务机关发现前主动改正或者在税务机关责令限期改正的期限内改正，且没有造成危害后果的。</w:t>
            </w:r>
          </w:p>
        </w:tc>
      </w:tr>
    </w:tbl>
    <w:p w14:paraId="21E98B2A"/>
    <w:p w14:paraId="55C043CB"/>
    <w:sectPr>
      <w:headerReference r:id="rId3" w:type="default"/>
      <w:footerReference r:id="rId4" w:type="default"/>
      <w:pgSz w:w="11906" w:h="16838"/>
      <w:pgMar w:top="1440" w:right="1800" w:bottom="1440" w:left="1800" w:header="851" w:footer="992" w:gutter="0"/>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楷体_GB2312">
    <w:altName w:val="楷体"/>
    <w:panose1 w:val="02010609030101010101"/>
    <w:charset w:val="86"/>
    <w:family w:val="auto"/>
    <w:pitch w:val="default"/>
    <w:sig w:usb0="00000001" w:usb1="080E0000" w:usb2="00000000" w:usb3="00000000" w:csb0="00040000" w:csb1="00000000"/>
  </w:font>
  <w:font w:name="方正小标宋简体">
    <w:altName w:val="黑体"/>
    <w:panose1 w:val="02000000000000000000"/>
    <w:charset w:val="86"/>
    <w:family w:val="auto"/>
    <w:pitch w:val="default"/>
    <w:sig w:usb0="A00002BF" w:usb1="184F6CFA" w:usb2="00000012" w:usb3="00000000" w:csb0="00040001" w:csb1="00000000"/>
  </w:font>
  <w:font w:name="仿宋_GB2312">
    <w:altName w:val="仿宋"/>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KSOFE44F9426">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1F19CE">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756D111B">
                          <w:pPr>
                            <w:pStyle w:val="3"/>
                          </w:pPr>
                          <w:r>
                            <w:t xml:space="preserve">— </w:t>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  \* MERGEFORMAT </w:instrText>
                          </w:r>
                          <w:r>
                            <w:rPr>
                              <w:rFonts w:hint="eastAsia" w:ascii="宋体" w:hAnsi="宋体" w:eastAsia="宋体" w:cs="宋体"/>
                              <w:sz w:val="24"/>
                              <w:szCs w:val="24"/>
                            </w:rPr>
                            <w:fldChar w:fldCharType="separate"/>
                          </w:r>
                          <w:r>
                            <w:rPr>
                              <w:rFonts w:hint="eastAsia" w:ascii="宋体" w:hAnsi="宋体" w:eastAsia="宋体" w:cs="宋体"/>
                              <w:sz w:val="24"/>
                              <w:szCs w:val="24"/>
                            </w:rPr>
                            <w:t>1</w:t>
                          </w:r>
                          <w:r>
                            <w:rPr>
                              <w:rFonts w:hint="eastAsia" w:ascii="宋体" w:hAnsi="宋体" w:eastAsia="宋体" w:cs="宋体"/>
                              <w:sz w:val="24"/>
                              <w:szCs w:val="24"/>
                            </w:rPr>
                            <w:fldChar w:fldCharType="end"/>
                          </w:r>
                          <w:r>
                            <w:rPr>
                              <w:rFonts w:hint="eastAsia" w:ascii="宋体" w:hAnsi="宋体" w:eastAsia="宋体" w:cs="宋体"/>
                              <w:sz w:val="24"/>
                              <w:szCs w:val="24"/>
                            </w:rPr>
                            <w:t xml:space="preserve"> </w:t>
                          </w:r>
                          <w:r>
                            <w:t>—</w:t>
                          </w:r>
                        </w:p>
                        <w:p w14:paraId="78C025D7">
                          <w:pPr>
                            <w:pStyle w:val="3"/>
                            <w:rPr>
                              <w:rFonts w:ascii="宋体" w:hAnsi="宋体" w:eastAsia="宋体"/>
                              <w:sz w:val="28"/>
                            </w:rPr>
                          </w:pPr>
                        </w:p>
                      </w:txbxContent>
                    </wps:txbx>
                    <wps:bodyPr vert="horz" wrap="none" lIns="0" tIns="0" rIns="0" bIns="0" anchor="t" anchorCtr="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">
              <v:fill on="f" focussize="0,0"/>
              <v:stroke on="f"/>
              <v:imagedata o:title=""/>
              <o:lock v:ext="edit" aspectratio="f"/>
              <v:textbox inset="0mm,0mm,0mm,0mm" style="mso-fit-shape-to-text:t;">
                <w:txbxContent>
                  <w:p w14:paraId="756D111B">
                    <w:pPr>
                      <w:pStyle w:val="3"/>
                    </w:pPr>
                    <w:r>
                      <w:t xml:space="preserve">— </w:t>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  \* MERGEFORMAT </w:instrText>
                    </w:r>
                    <w:r>
                      <w:rPr>
                        <w:rFonts w:hint="eastAsia" w:ascii="宋体" w:hAnsi="宋体" w:eastAsia="宋体" w:cs="宋体"/>
                        <w:sz w:val="24"/>
                        <w:szCs w:val="24"/>
                      </w:rPr>
                      <w:fldChar w:fldCharType="separate"/>
                    </w:r>
                    <w:r>
                      <w:rPr>
                        <w:rFonts w:hint="eastAsia" w:ascii="宋体" w:hAnsi="宋体" w:eastAsia="宋体" w:cs="宋体"/>
                        <w:sz w:val="24"/>
                        <w:szCs w:val="24"/>
                      </w:rPr>
                      <w:t>1</w:t>
                    </w:r>
                    <w:r>
                      <w:rPr>
                        <w:rFonts w:hint="eastAsia" w:ascii="宋体" w:hAnsi="宋体" w:eastAsia="宋体" w:cs="宋体"/>
                        <w:sz w:val="24"/>
                        <w:szCs w:val="24"/>
                      </w:rPr>
                      <w:fldChar w:fldCharType="end"/>
                    </w:r>
                    <w:r>
                      <w:rPr>
                        <w:rFonts w:hint="eastAsia" w:ascii="宋体" w:hAnsi="宋体" w:eastAsia="宋体" w:cs="宋体"/>
                        <w:sz w:val="24"/>
                        <w:szCs w:val="24"/>
                      </w:rPr>
                      <w:t xml:space="preserve"> </w:t>
                    </w:r>
                    <w:r>
                      <w:t>—</w:t>
                    </w:r>
                  </w:p>
                  <w:p w14:paraId="78C025D7">
                    <w:pPr>
                      <w:pStyle w:val="3"/>
                      <w:rPr>
                        <w:rFonts w:ascii="宋体" w:hAnsi="宋体" w:eastAsia="宋体"/>
                        <w:sz w:val="28"/>
                      </w:rPr>
                    </w:pP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3C2594">
    <w:pPr>
      <w:pStyle w:val="4"/>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1"/>
  <w:bordersDoNotSurroundFooter w:val="1"/>
  <w:revisionView w:markup="0"/>
  <w:documentProtection w:enforcement="0"/>
  <w:defaultTabStop w:val="420"/>
  <w:hyphenationZone w:val="36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B971AD9"/>
    <w:rsid w:val="3EEB9C06"/>
    <w:rsid w:val="3FFBE528"/>
    <w:rsid w:val="5B7ECBB1"/>
    <w:rsid w:val="5D7D2B5D"/>
    <w:rsid w:val="5FFFDC6A"/>
    <w:rsid w:val="69BB2EE1"/>
    <w:rsid w:val="6AEFA8BF"/>
    <w:rsid w:val="6FBED8ED"/>
    <w:rsid w:val="6FFF5832"/>
    <w:rsid w:val="7462DBBF"/>
    <w:rsid w:val="757FA4BF"/>
    <w:rsid w:val="7B6F0BA3"/>
    <w:rsid w:val="7B971AD9"/>
    <w:rsid w:val="7D7B2FEF"/>
    <w:rsid w:val="7D7FE440"/>
    <w:rsid w:val="7F3D38D8"/>
    <w:rsid w:val="B7FDD4A1"/>
    <w:rsid w:val="BA7E1736"/>
    <w:rsid w:val="BCF0A3E9"/>
    <w:rsid w:val="BFDFFCA3"/>
    <w:rsid w:val="DFDAB6D6"/>
    <w:rsid w:val="DFEB2B26"/>
    <w:rsid w:val="F7E7281D"/>
    <w:rsid w:val="F97F48D6"/>
    <w:rsid w:val="F9FB1CCF"/>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character" w:default="1" w:styleId="6">
    <w:name w:val="Default Paragraph Font"/>
    <w:semiHidden/>
    <w:qFormat/>
    <w:uiPriority w:val="0"/>
  </w:style>
  <w:style w:type="table" w:default="1" w:styleId="5">
    <w:name w:val="Normal Table"/>
    <w:semiHidden/>
    <w:qFormat/>
    <w:uiPriority w:val="0"/>
    <w:tblPr>
      <w:tblStyle w:val="5"/>
      <w:tblCellMar>
        <w:top w:w="0" w:type="dxa"/>
        <w:left w:w="108" w:type="dxa"/>
        <w:bottom w:w="0" w:type="dxa"/>
        <w:right w:w="108" w:type="dxa"/>
      </w:tblCellMar>
    </w:tblPr>
  </w:style>
  <w:style w:type="paragraph" w:customStyle="1" w:styleId="2">
    <w:name w:val="Normal Indent1"/>
    <w:next w:val="1"/>
    <w:qFormat/>
    <w:uiPriority w:val="0"/>
    <w:pPr>
      <w:spacing w:after="120" w:line="660" w:lineRule="exact"/>
      <w:ind w:firstLine="720" w:firstLineChars="200"/>
    </w:pPr>
    <w:rPr>
      <w:rFonts w:ascii="宋体" w:hAnsi="宋体" w:eastAsia="楷体_GB2312" w:cs="Times New Roman"/>
      <w:sz w:val="36"/>
      <w:szCs w:val="36"/>
      <w:lang w:val="en-US" w:eastAsia="zh-CN" w:bidi="ar-SA"/>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Pages>
  <Words>613</Words>
  <Characters>614</Characters>
  <Lines>0</Lines>
  <Paragraphs>0</Paragraphs>
  <TotalTime>2.66666666666667</TotalTime>
  <ScaleCrop>false</ScaleCrop>
  <LinksUpToDate>false</LinksUpToDate>
  <CharactersWithSpaces>614</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2026-09-10T01:08:00Z</dcterms:created>
  <dc:creator>guest</dc:creator>
  <cp:lastModifiedBy>WPS_1639229193</cp:lastModifiedBy>
  <cp:lastPrinted>2026-09-30T08:26:57Z</cp:lastPrinted>
  <dcterms:modified xsi:type="dcterms:W3CDTF">2026-10-08T06:35:07Z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2D915D64FC3F406281C03BD5B50DAA4B_13</vt:lpwstr>
  </property>
</Properties>
</file>