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94" w:lineRule="exact"/>
        <w:ind w:leftChars="0"/>
        <w:jc w:val="left"/>
        <w:textAlignment w:val="auto"/>
        <w:rPr>
          <w:rFonts w:hint="default" w:ascii="Times New Roman" w:hAnsi="Times New Roman" w:eastAsia="黑体" w:cs="Times New Roman"/>
          <w:spacing w:val="0"/>
          <w:sz w:val="32"/>
          <w:szCs w:val="32"/>
        </w:rPr>
      </w:pPr>
      <w:bookmarkStart w:id="1" w:name="_GoBack"/>
      <w:bookmarkEnd w:id="1"/>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594" w:lineRule="exact"/>
        <w:ind w:leftChars="0"/>
        <w:jc w:val="center"/>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spacing w:val="0"/>
          <w:sz w:val="44"/>
          <w:szCs w:val="44"/>
        </w:rPr>
        <w:t>部分不合格检验项目小知识</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textAlignment w:val="auto"/>
        <w:rPr>
          <w:rFonts w:hint="default" w:ascii="Times New Roman" w:hAnsi="Times New Roman" w:eastAsia="仿宋_GB2312" w:cs="Times New Roman"/>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default" w:ascii="Times New Roman" w:hAnsi="Times New Roman" w:eastAsia="方正黑体_GBK" w:cs="Times New Roman"/>
          <w:color w:val="auto"/>
          <w:spacing w:val="0"/>
          <w:sz w:val="32"/>
          <w:szCs w:val="32"/>
          <w:lang w:val="en-US" w:eastAsia="zh-CN"/>
        </w:rPr>
      </w:pPr>
      <w:r>
        <w:rPr>
          <w:rFonts w:hint="eastAsia" w:ascii="黑体" w:hAnsi="黑体" w:eastAsia="黑体" w:cs="黑体"/>
          <w:color w:val="auto"/>
          <w:spacing w:val="0"/>
          <w:sz w:val="32"/>
          <w:szCs w:val="32"/>
          <w:highlight w:val="none"/>
          <w:lang w:val="en-US" w:eastAsia="zh-CN"/>
        </w:rPr>
        <w:t>一</w:t>
      </w:r>
      <w:r>
        <w:rPr>
          <w:rFonts w:hint="eastAsia" w:ascii="黑体" w:hAnsi="黑体" w:eastAsia="黑体" w:cs="黑体"/>
          <w:color w:val="auto"/>
          <w:spacing w:val="0"/>
          <w:sz w:val="32"/>
          <w:szCs w:val="32"/>
          <w:highlight w:val="none"/>
        </w:rPr>
        <w:t>、</w:t>
      </w:r>
      <w:r>
        <w:rPr>
          <w:rFonts w:hint="eastAsia" w:ascii="黑体" w:hAnsi="黑体" w:eastAsia="黑体" w:cs="黑体"/>
          <w:color w:val="auto"/>
          <w:spacing w:val="0"/>
          <w:sz w:val="32"/>
          <w:szCs w:val="32"/>
          <w:lang w:val="en-US" w:eastAsia="zh-CN"/>
        </w:rPr>
        <w:t>柠檬黄</w:t>
      </w:r>
    </w:p>
    <w:p>
      <w:pPr>
        <w:pStyle w:val="9"/>
        <w:spacing w:after="0" w:line="594" w:lineRule="exact"/>
        <w:ind w:firstLine="592"/>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color w:val="auto"/>
          <w:sz w:val="32"/>
          <w:szCs w:val="32"/>
          <w:highlight w:val="none"/>
          <w:lang w:val="en-US" w:eastAsia="zh-CN"/>
        </w:rPr>
        <w:t>柠檬黄又名食用黄色4号，属于水溶性偶氮化合物，是常见的人工合成着色剂，在食品生产中应用广泛。柠檬黄基本无毒，不在体内贮积，绝大部分以原形排出体外，但长期食用柠檬黄超标的食品，可能危害人体健康。《食品安全国家标准 食品添加剂使用标准》（GB 2760</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2024）中规定，凉皮</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000000"/>
          <w:kern w:val="2"/>
          <w:sz w:val="32"/>
          <w:szCs w:val="32"/>
          <w:highlight w:val="none"/>
          <w:lang w:val="en-US" w:eastAsia="zh-CN" w:bidi="ar-SA"/>
        </w:rPr>
        <w:t>调味面制品、</w:t>
      </w:r>
      <w:r>
        <w:rPr>
          <w:rFonts w:hint="eastAsia" w:ascii="Times New Roman" w:hAnsi="Times New Roman" w:eastAsia="仿宋_GB2312" w:cs="Times New Roman"/>
          <w:color w:val="auto"/>
          <w:sz w:val="32"/>
          <w:szCs w:val="32"/>
          <w:highlight w:val="none"/>
          <w:lang w:val="en-US" w:eastAsia="zh-CN"/>
        </w:rPr>
        <w:t>糕点（除糕点上彩装外）</w:t>
      </w:r>
      <w:r>
        <w:rPr>
          <w:rFonts w:hint="default" w:ascii="Times New Roman" w:hAnsi="Times New Roman" w:eastAsia="仿宋_GB2312" w:cs="Times New Roman"/>
          <w:color w:val="auto"/>
          <w:sz w:val="32"/>
          <w:szCs w:val="32"/>
          <w:highlight w:val="none"/>
          <w:lang w:val="en-US" w:eastAsia="zh-CN"/>
        </w:rPr>
        <w:t>中不得使用柠檬黄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液体复合调味料中柠檬黄</w:t>
      </w:r>
      <w:r>
        <w:rPr>
          <w:rFonts w:hint="default" w:ascii="Calibri" w:hAnsi="Calibri" w:eastAsia="仿宋_GB2312" w:cs="Times New Roman"/>
          <w:kern w:val="2"/>
          <w:sz w:val="32"/>
          <w:szCs w:val="32"/>
          <w:highlight w:val="none"/>
          <w:lang w:val="en-US" w:eastAsia="zh-CN" w:bidi="ar-SA"/>
        </w:rPr>
        <w:t>最大使用量为</w:t>
      </w:r>
      <w:r>
        <w:rPr>
          <w:rFonts w:hint="default" w:ascii="Times New Roman" w:hAnsi="Times New Roman" w:eastAsia="仿宋_GB2312" w:cs="Times New Roman"/>
          <w:kern w:val="2"/>
          <w:sz w:val="32"/>
          <w:szCs w:val="32"/>
          <w:highlight w:val="none"/>
          <w:lang w:val="en-US" w:eastAsia="zh-CN" w:bidi="ar-SA"/>
        </w:rPr>
        <w:t>0.</w:t>
      </w:r>
      <w:r>
        <w:rPr>
          <w:rFonts w:hint="eastAsia" w:ascii="Times New Roman" w:hAnsi="Times New Roman" w:eastAsia="仿宋_GB2312" w:cs="Times New Roman"/>
          <w:kern w:val="2"/>
          <w:sz w:val="32"/>
          <w:szCs w:val="32"/>
          <w:highlight w:val="none"/>
          <w:lang w:val="en-US" w:eastAsia="zh-CN" w:bidi="ar-SA"/>
        </w:rPr>
        <w:t>1</w:t>
      </w:r>
      <w:r>
        <w:rPr>
          <w:rFonts w:hint="eastAsia" w:ascii="Times New Roman" w:hAnsi="Times New Roman" w:cs="Times New Roman"/>
          <w:kern w:val="2"/>
          <w:sz w:val="32"/>
          <w:szCs w:val="32"/>
          <w:highlight w:val="none"/>
          <w:lang w:val="en-US" w:eastAsia="zh-CN" w:bidi="ar-SA"/>
        </w:rPr>
        <w:t>5</w:t>
      </w:r>
      <w:r>
        <w:rPr>
          <w:rFonts w:hint="default" w:ascii="Times New Roman" w:hAnsi="Times New Roman" w:eastAsia="仿宋_GB2312" w:cs="Times New Roman"/>
          <w:kern w:val="2"/>
          <w:sz w:val="32"/>
          <w:szCs w:val="32"/>
          <w:highlight w:val="none"/>
          <w:lang w:val="en-US" w:eastAsia="zh-CN" w:bidi="ar-SA"/>
        </w:rPr>
        <w:t>g/kg</w:t>
      </w:r>
      <w:r>
        <w:rPr>
          <w:rFonts w:hint="default" w:ascii="Times New Roman" w:hAnsi="Times New Roman" w:eastAsia="仿宋_GB2312" w:cs="Times New Roman"/>
          <w:color w:val="auto"/>
          <w:sz w:val="32"/>
          <w:szCs w:val="32"/>
          <w:highlight w:val="none"/>
          <w:lang w:val="en-US" w:eastAsia="zh-CN"/>
        </w:rPr>
        <w:t>。凉皮类（自制）</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000000"/>
          <w:kern w:val="2"/>
          <w:sz w:val="32"/>
          <w:szCs w:val="32"/>
          <w:highlight w:val="none"/>
          <w:lang w:val="en-US" w:eastAsia="zh-CN" w:bidi="ar-SA"/>
        </w:rPr>
        <w:t>调味面制品、糕点、</w:t>
      </w:r>
      <w:r>
        <w:rPr>
          <w:rFonts w:hint="default" w:ascii="Times New Roman" w:hAnsi="Times New Roman" w:eastAsia="仿宋_GB2312" w:cs="Times New Roman"/>
          <w:color w:val="auto"/>
          <w:sz w:val="32"/>
          <w:szCs w:val="32"/>
          <w:highlight w:val="none"/>
          <w:lang w:val="en-US" w:eastAsia="zh-CN"/>
        </w:rPr>
        <w:t>液体复合调味料中柠檬黄</w:t>
      </w:r>
      <w:r>
        <w:rPr>
          <w:rFonts w:hint="eastAsia" w:ascii="Times New Roman" w:hAnsi="Times New Roman" w:eastAsia="仿宋_GB2312" w:cs="Times New Roman"/>
          <w:color w:val="auto"/>
          <w:sz w:val="32"/>
          <w:szCs w:val="32"/>
          <w:highlight w:val="none"/>
          <w:lang w:val="en-US" w:eastAsia="zh-CN"/>
        </w:rPr>
        <w:t>检验值超标</w:t>
      </w:r>
      <w:r>
        <w:rPr>
          <w:rFonts w:hint="default" w:ascii="Times New Roman" w:hAnsi="Times New Roman" w:eastAsia="仿宋_GB2312" w:cs="Times New Roman"/>
          <w:color w:val="auto"/>
          <w:sz w:val="32"/>
          <w:szCs w:val="32"/>
          <w:highlight w:val="none"/>
          <w:lang w:val="en-US" w:eastAsia="zh-CN"/>
        </w:rPr>
        <w:t>的原因，可能是经营者为改善产品色泽而超范围</w:t>
      </w:r>
      <w:r>
        <w:rPr>
          <w:rFonts w:hint="eastAsia" w:ascii="Times New Roman" w:hAnsi="Times New Roman" w:eastAsia="仿宋_GB2312" w:cs="Times New Roman"/>
          <w:color w:val="auto"/>
          <w:sz w:val="32"/>
          <w:szCs w:val="32"/>
          <w:highlight w:val="none"/>
          <w:lang w:val="en-US" w:eastAsia="zh-CN"/>
        </w:rPr>
        <w:t>超限量</w:t>
      </w:r>
      <w:r>
        <w:rPr>
          <w:rFonts w:hint="default" w:ascii="Times New Roman" w:hAnsi="Times New Roman" w:eastAsia="仿宋_GB2312" w:cs="Times New Roman"/>
          <w:color w:val="auto"/>
          <w:sz w:val="32"/>
          <w:szCs w:val="32"/>
          <w:highlight w:val="none"/>
          <w:lang w:val="en-US" w:eastAsia="zh-CN"/>
        </w:rPr>
        <w:t>使用。</w:t>
      </w:r>
    </w:p>
    <w:p>
      <w:pPr>
        <w:adjustRightInd w:val="0"/>
        <w:spacing w:line="594" w:lineRule="exact"/>
        <w:ind w:firstLine="640" w:firstLineChars="200"/>
        <w:rPr>
          <w:rFonts w:hint="eastAsia" w:eastAsia="黑体"/>
          <w:color w:val="auto"/>
          <w:spacing w:val="0"/>
          <w:sz w:val="32"/>
          <w:szCs w:val="32"/>
          <w:lang w:val="en-US" w:eastAsia="zh-CN"/>
        </w:rPr>
      </w:pPr>
      <w:r>
        <w:rPr>
          <w:rFonts w:hint="eastAsia" w:ascii="Times New Roman" w:hAnsi="Times New Roman" w:eastAsia="黑体" w:cs="Times New Roman"/>
          <w:spacing w:val="0"/>
          <w:sz w:val="32"/>
          <w:szCs w:val="32"/>
          <w:lang w:val="en-US" w:eastAsia="zh-CN"/>
        </w:rPr>
        <w:t>二、</w:t>
      </w:r>
      <w:r>
        <w:rPr>
          <w:rFonts w:hint="eastAsia" w:eastAsia="黑体"/>
          <w:color w:val="auto"/>
          <w:spacing w:val="0"/>
          <w:sz w:val="32"/>
          <w:szCs w:val="32"/>
          <w:lang w:val="en-US" w:eastAsia="zh-CN"/>
        </w:rPr>
        <w:t>喹啉黄</w:t>
      </w:r>
    </w:p>
    <w:p>
      <w:pPr>
        <w:overflowPunct w:val="0"/>
        <w:autoSpaceDE/>
        <w:adjustRightInd w:val="0"/>
        <w:spacing w:line="594" w:lineRule="exact"/>
        <w:ind w:firstLine="640" w:firstLineChars="200"/>
        <w:rPr>
          <w:rFonts w:hint="eastAsia" w:ascii="Times New Roman" w:hAnsi="Times New Roman" w:eastAsia="黑体" w:cs="Times New Roman"/>
          <w:spacing w:val="0"/>
          <w:sz w:val="32"/>
          <w:szCs w:val="32"/>
          <w:lang w:val="en-US" w:eastAsia="zh-CN"/>
        </w:rPr>
      </w:pPr>
      <w:r>
        <w:rPr>
          <w:rFonts w:hint="eastAsia" w:ascii="Times New Roman" w:hAnsi="Times New Roman" w:eastAsia="仿宋_GB2312" w:cs="仿宋_GB2312"/>
          <w:color w:val="000000"/>
          <w:kern w:val="0"/>
          <w:sz w:val="32"/>
          <w:szCs w:val="32"/>
          <w:highlight w:val="none"/>
          <w:lang w:val="en-US" w:eastAsia="zh-CN" w:bidi="ar-SA"/>
        </w:rPr>
        <w:t>喹啉黄属于水溶性</w:t>
      </w:r>
      <w:r>
        <w:rPr>
          <w:rFonts w:hint="default" w:ascii="Times New Roman" w:hAnsi="Times New Roman" w:eastAsia="仿宋_GB2312" w:cs="仿宋_GB2312"/>
          <w:color w:val="000000"/>
          <w:kern w:val="0"/>
          <w:sz w:val="32"/>
          <w:szCs w:val="32"/>
          <w:highlight w:val="none"/>
          <w:lang w:val="en-US" w:eastAsia="zh-CN" w:bidi="ar-SA"/>
        </w:rPr>
        <w:t>偶氮类化合物，</w:t>
      </w:r>
      <w:r>
        <w:rPr>
          <w:rFonts w:hint="default" w:ascii="Times New Roman" w:hAnsi="Times New Roman" w:eastAsia="仿宋_GB2312" w:cs="Times New Roman"/>
          <w:color w:val="000000"/>
          <w:kern w:val="2"/>
          <w:sz w:val="32"/>
          <w:szCs w:val="32"/>
          <w:highlight w:val="none"/>
          <w:lang w:val="en-US" w:eastAsia="zh-CN" w:bidi="ar-SA"/>
        </w:rPr>
        <w:t>是一种</w:t>
      </w:r>
      <w:r>
        <w:rPr>
          <w:rFonts w:hint="default" w:ascii="Times New Roman" w:hAnsi="Times New Roman" w:eastAsia="仿宋_GB2312" w:cs="Times New Roman"/>
          <w:color w:val="000000"/>
          <w:sz w:val="32"/>
          <w:szCs w:val="32"/>
          <w:highlight w:val="none"/>
        </w:rPr>
        <w:t>人工合成着色剂</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仿宋_GB2312"/>
          <w:color w:val="000000"/>
          <w:kern w:val="0"/>
          <w:sz w:val="32"/>
          <w:szCs w:val="32"/>
          <w:highlight w:val="none"/>
          <w:lang w:val="en-US" w:eastAsia="zh-CN" w:bidi="ar-SA"/>
        </w:rPr>
        <w:t>长期摄入</w:t>
      </w:r>
      <w:r>
        <w:rPr>
          <w:rFonts w:hint="eastAsia" w:ascii="Times New Roman" w:hAnsi="Times New Roman" w:eastAsia="仿宋_GB2312" w:cs="仿宋_GB2312"/>
          <w:color w:val="000000"/>
          <w:kern w:val="0"/>
          <w:sz w:val="32"/>
          <w:szCs w:val="32"/>
          <w:highlight w:val="none"/>
          <w:lang w:val="en-US" w:eastAsia="zh-CN" w:bidi="ar-SA"/>
        </w:rPr>
        <w:t>喹啉黄</w:t>
      </w:r>
      <w:r>
        <w:rPr>
          <w:rFonts w:hint="default" w:ascii="Times New Roman" w:hAnsi="Times New Roman" w:eastAsia="仿宋_GB2312" w:cs="仿宋_GB2312"/>
          <w:color w:val="000000"/>
          <w:kern w:val="0"/>
          <w:sz w:val="32"/>
          <w:szCs w:val="32"/>
          <w:highlight w:val="none"/>
          <w:lang w:val="en-US" w:eastAsia="zh-CN" w:bidi="ar-SA"/>
        </w:rPr>
        <w:t>超标的食品，</w:t>
      </w:r>
      <w:r>
        <w:rPr>
          <w:rFonts w:hint="eastAsia" w:ascii="Times New Roman" w:hAnsi="Times New Roman" w:eastAsia="仿宋_GB2312" w:cs="仿宋_GB2312"/>
          <w:color w:val="000000"/>
          <w:kern w:val="0"/>
          <w:sz w:val="32"/>
          <w:szCs w:val="32"/>
          <w:highlight w:val="none"/>
          <w:lang w:val="en-US" w:eastAsia="zh-CN" w:bidi="ar-SA"/>
        </w:rPr>
        <w:t>可能危害人体健康</w:t>
      </w:r>
      <w:r>
        <w:rPr>
          <w:rFonts w:hint="default" w:ascii="Times New Roman" w:hAnsi="Times New Roman" w:eastAsia="仿宋_GB2312" w:cs="仿宋_GB2312"/>
          <w:color w:val="000000"/>
          <w:kern w:val="0"/>
          <w:sz w:val="32"/>
          <w:szCs w:val="32"/>
          <w:highlight w:val="none"/>
          <w:lang w:val="en-US" w:eastAsia="zh-CN" w:bidi="ar-SA"/>
        </w:rPr>
        <w:t>。《食品安全国家标准 食品添加剂使用标准》（GB 2760</w:t>
      </w:r>
      <w:r>
        <w:rPr>
          <w:rFonts w:hint="eastAsia" w:ascii="Times New Roman" w:hAnsi="Times New Roman" w:eastAsia="仿宋_GB2312" w:cs="仿宋_GB2312"/>
          <w:color w:val="000000"/>
          <w:kern w:val="0"/>
          <w:sz w:val="32"/>
          <w:szCs w:val="32"/>
          <w:highlight w:val="none"/>
          <w:lang w:val="en-US" w:eastAsia="zh-CN" w:bidi="ar-SA"/>
        </w:rPr>
        <w:t>—</w:t>
      </w:r>
      <w:r>
        <w:rPr>
          <w:rFonts w:hint="default" w:ascii="Times New Roman" w:hAnsi="Times New Roman" w:eastAsia="仿宋_GB2312" w:cs="仿宋_GB2312"/>
          <w:color w:val="000000"/>
          <w:kern w:val="0"/>
          <w:sz w:val="32"/>
          <w:szCs w:val="32"/>
          <w:highlight w:val="none"/>
          <w:lang w:val="en-US" w:eastAsia="zh-CN" w:bidi="ar-SA"/>
        </w:rPr>
        <w:t>20</w:t>
      </w:r>
      <w:r>
        <w:rPr>
          <w:rFonts w:hint="eastAsia" w:ascii="Times New Roman" w:hAnsi="Times New Roman" w:eastAsia="仿宋_GB2312" w:cs="仿宋_GB2312"/>
          <w:color w:val="000000"/>
          <w:kern w:val="0"/>
          <w:sz w:val="32"/>
          <w:szCs w:val="32"/>
          <w:highlight w:val="none"/>
          <w:lang w:val="en-US" w:eastAsia="zh-CN" w:bidi="ar-SA"/>
        </w:rPr>
        <w:t>2</w:t>
      </w:r>
      <w:r>
        <w:rPr>
          <w:rFonts w:hint="default" w:ascii="Times New Roman" w:hAnsi="Times New Roman" w:eastAsia="仿宋_GB2312" w:cs="仿宋_GB2312"/>
          <w:color w:val="000000"/>
          <w:kern w:val="0"/>
          <w:sz w:val="32"/>
          <w:szCs w:val="32"/>
          <w:highlight w:val="none"/>
          <w:lang w:val="en-US" w:eastAsia="zh-CN" w:bidi="ar-SA"/>
        </w:rPr>
        <w:t>4）中规定，</w:t>
      </w:r>
      <w:r>
        <w:rPr>
          <w:rFonts w:hint="eastAsia" w:ascii="Times New Roman" w:hAnsi="Times New Roman" w:eastAsia="仿宋_GB2312" w:cs="仿宋_GB2312"/>
          <w:color w:val="000000"/>
          <w:kern w:val="0"/>
          <w:sz w:val="32"/>
          <w:szCs w:val="32"/>
          <w:highlight w:val="none"/>
          <w:lang w:val="en-US" w:eastAsia="zh-CN" w:bidi="ar-SA"/>
        </w:rPr>
        <w:t>蜜饯</w:t>
      </w:r>
      <w:r>
        <w:rPr>
          <w:rFonts w:hint="default" w:ascii="Times New Roman" w:hAnsi="Times New Roman" w:eastAsia="仿宋_GB2312" w:cs="仿宋_GB2312"/>
          <w:color w:val="000000"/>
          <w:kern w:val="0"/>
          <w:sz w:val="32"/>
          <w:szCs w:val="32"/>
          <w:highlight w:val="none"/>
          <w:lang w:val="en-US" w:eastAsia="zh-CN" w:bidi="ar-SA"/>
        </w:rPr>
        <w:t>中</w:t>
      </w:r>
      <w:r>
        <w:rPr>
          <w:rFonts w:hint="eastAsia" w:ascii="Times New Roman" w:hAnsi="Times New Roman" w:eastAsia="仿宋_GB2312" w:cs="仿宋_GB2312"/>
          <w:color w:val="000000"/>
          <w:kern w:val="0"/>
          <w:sz w:val="32"/>
          <w:szCs w:val="32"/>
          <w:highlight w:val="none"/>
          <w:lang w:val="en-US" w:eastAsia="zh-CN" w:bidi="ar-SA"/>
        </w:rPr>
        <w:t>不得使用喹啉黄</w:t>
      </w:r>
      <w:r>
        <w:rPr>
          <w:rFonts w:hint="default" w:ascii="Times New Roman" w:hAnsi="Times New Roman" w:eastAsia="仿宋_GB2312" w:cs="仿宋_GB2312"/>
          <w:color w:val="000000"/>
          <w:kern w:val="0"/>
          <w:sz w:val="32"/>
          <w:szCs w:val="32"/>
          <w:highlight w:val="none"/>
          <w:lang w:val="en-US" w:eastAsia="zh-CN" w:bidi="ar-SA"/>
        </w:rPr>
        <w:t>。</w:t>
      </w:r>
      <w:r>
        <w:rPr>
          <w:rFonts w:hint="eastAsia" w:ascii="Times New Roman" w:hAnsi="Times New Roman" w:eastAsia="仿宋_GB2312" w:cs="仿宋_GB2312"/>
          <w:color w:val="000000"/>
          <w:kern w:val="0"/>
          <w:sz w:val="32"/>
          <w:szCs w:val="32"/>
          <w:highlight w:val="none"/>
          <w:lang w:val="en-US" w:eastAsia="zh-CN" w:bidi="ar-SA"/>
        </w:rPr>
        <w:t>蜜饯</w:t>
      </w:r>
      <w:r>
        <w:rPr>
          <w:rFonts w:hint="default" w:ascii="Times New Roman" w:hAnsi="Times New Roman" w:eastAsia="仿宋_GB2312" w:cs="仿宋_GB2312"/>
          <w:color w:val="000000"/>
          <w:kern w:val="0"/>
          <w:sz w:val="32"/>
          <w:szCs w:val="32"/>
          <w:highlight w:val="none"/>
          <w:lang w:val="en-US" w:eastAsia="zh-CN" w:bidi="ar-SA"/>
        </w:rPr>
        <w:t>中</w:t>
      </w:r>
      <w:r>
        <w:rPr>
          <w:rFonts w:hint="eastAsia" w:ascii="Times New Roman" w:hAnsi="Times New Roman" w:eastAsia="仿宋_GB2312" w:cs="仿宋_GB2312"/>
          <w:color w:val="000000"/>
          <w:kern w:val="0"/>
          <w:sz w:val="32"/>
          <w:szCs w:val="32"/>
          <w:highlight w:val="none"/>
          <w:lang w:val="en-US" w:eastAsia="zh-CN" w:bidi="ar-SA"/>
        </w:rPr>
        <w:t>检出喹啉黄的</w:t>
      </w:r>
      <w:r>
        <w:rPr>
          <w:rFonts w:hint="default" w:ascii="Times New Roman" w:hAnsi="Times New Roman" w:eastAsia="仿宋_GB2312" w:cs="仿宋_GB2312"/>
          <w:color w:val="000000"/>
          <w:kern w:val="0"/>
          <w:sz w:val="32"/>
          <w:szCs w:val="32"/>
          <w:highlight w:val="none"/>
          <w:lang w:val="en-US" w:eastAsia="zh-CN" w:bidi="ar-SA"/>
        </w:rPr>
        <w:t>原因</w:t>
      </w:r>
      <w:r>
        <w:rPr>
          <w:rFonts w:hint="eastAsia" w:ascii="Times New Roman" w:hAnsi="Times New Roman" w:eastAsia="仿宋_GB2312" w:cs="仿宋_GB2312"/>
          <w:color w:val="000000"/>
          <w:kern w:val="0"/>
          <w:sz w:val="32"/>
          <w:szCs w:val="32"/>
          <w:highlight w:val="none"/>
          <w:lang w:val="en-US" w:eastAsia="zh-CN" w:bidi="ar-SA"/>
        </w:rPr>
        <w:t>，</w:t>
      </w:r>
      <w:r>
        <w:rPr>
          <w:rFonts w:hint="eastAsia" w:ascii="Times New Roman" w:hAnsi="Times New Roman" w:eastAsia="仿宋_GB2312" w:cs="仿宋_GB2312"/>
          <w:color w:val="000000"/>
          <w:kern w:val="2"/>
          <w:sz w:val="32"/>
          <w:szCs w:val="32"/>
          <w:highlight w:val="none"/>
          <w:lang w:val="en-US" w:eastAsia="zh-CN" w:bidi="ar-SA"/>
        </w:rPr>
        <w:t>可能是企业</w:t>
      </w:r>
      <w:r>
        <w:rPr>
          <w:rFonts w:hint="eastAsia" w:ascii="Times New Roman" w:hAnsi="Times New Roman" w:eastAsia="仿宋_GB2312" w:cs="仿宋_GB2312"/>
          <w:color w:val="000000"/>
          <w:sz w:val="32"/>
          <w:szCs w:val="32"/>
          <w:highlight w:val="none"/>
        </w:rPr>
        <w:t>为改善产品色泽</w:t>
      </w:r>
      <w:r>
        <w:rPr>
          <w:rFonts w:hint="eastAsia" w:ascii="Times New Roman" w:hAnsi="Times New Roman" w:eastAsia="仿宋_GB2312" w:cs="仿宋_GB2312"/>
          <w:color w:val="000000"/>
          <w:kern w:val="2"/>
          <w:sz w:val="32"/>
          <w:szCs w:val="32"/>
          <w:highlight w:val="none"/>
          <w:lang w:val="en-US" w:eastAsia="zh-CN" w:bidi="ar-SA"/>
        </w:rPr>
        <w:t>在生产加工过程中超范围使用。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eastAsia="黑体"/>
          <w:spacing w:val="0"/>
          <w:sz w:val="32"/>
          <w:szCs w:val="32"/>
          <w:lang w:val="en-US" w:eastAsia="zh-CN"/>
        </w:rPr>
        <w:t>三、</w:t>
      </w:r>
      <w:r>
        <w:rPr>
          <w:rFonts w:hint="eastAsia" w:ascii="Times New Roman" w:hAnsi="Times New Roman" w:eastAsia="黑体" w:cs="Times New Roman"/>
          <w:color w:val="auto"/>
          <w:sz w:val="32"/>
          <w:szCs w:val="32"/>
          <w:highlight w:val="none"/>
          <w:lang w:val="en-US" w:eastAsia="zh-CN"/>
        </w:rPr>
        <w:t>苯甲酸及其钠盐（以苯甲酸计）</w:t>
      </w:r>
    </w:p>
    <w:p>
      <w:pPr>
        <w:widowControl/>
        <w:numPr>
          <w:ilvl w:val="0"/>
          <w:numId w:val="0"/>
        </w:numPr>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苯甲酸及其钠盐是食品工业中常用的一种防腐剂，在酸性条件下对多种微生物有明显的杀菌、抑菌作用。按标准使用不会对健康造成危害，长期食用苯甲酸及其钠盐超标的食品，可能导致肝脏积累性中毒，危害肝脏健康。</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《食品安全国家标准 食品添加剂使用标准》（GB 2760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）中规定，</w:t>
      </w:r>
      <w:r>
        <w:rPr>
          <w:rFonts w:hint="eastAsia" w:eastAsia="仿宋_GB2312" w:cs="Times New Roman"/>
          <w:color w:val="000000" w:themeColor="text1"/>
          <w:sz w:val="32"/>
          <w:szCs w:val="32"/>
          <w:highlight w:val="none"/>
          <w:lang w:val="en-US" w:eastAsia="zh-CN"/>
          <w14:textFill>
            <w14:solidFill>
              <w14:schemeClr w14:val="tx1"/>
            </w14:solidFill>
          </w14:textFill>
        </w:rPr>
        <w:t>发酵酒中不得使用</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苯甲酸及其钠盐（以苯甲酸计）；《绿色食品 米酒》（NY/T 1885—2017）中规定，绿色食品米酒中不得检出苯甲酸。</w:t>
      </w:r>
      <w:r>
        <w:rPr>
          <w:rFonts w:hint="eastAsia" w:eastAsia="仿宋_GB2312" w:cs="Times New Roman"/>
          <w:color w:val="000000" w:themeColor="text1"/>
          <w:sz w:val="32"/>
          <w:szCs w:val="32"/>
          <w:highlight w:val="none"/>
          <w:lang w:val="en-US" w:eastAsia="zh-CN"/>
          <w14:textFill>
            <w14:solidFill>
              <w14:schemeClr w14:val="tx1"/>
            </w14:solidFill>
          </w14:textFill>
        </w:rPr>
        <w:t>发酵酒</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中</w:t>
      </w:r>
      <w:r>
        <w:rPr>
          <w:rFonts w:hint="eastAsia" w:eastAsia="仿宋_GB2312" w:cs="Times New Roman"/>
          <w:color w:val="000000" w:themeColor="text1"/>
          <w:sz w:val="32"/>
          <w:szCs w:val="32"/>
          <w:highlight w:val="none"/>
          <w:lang w:val="en-US" w:eastAsia="zh-CN"/>
          <w14:textFill>
            <w14:solidFill>
              <w14:schemeClr w14:val="tx1"/>
            </w14:solidFill>
          </w14:textFill>
        </w:rPr>
        <w:t>检出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苯甲酸及其钠盐</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（以苯甲酸计）的原因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可能是生产企业为延长产品保质期</w:t>
      </w:r>
      <w:r>
        <w:rPr>
          <w:rFonts w:hint="eastAsia"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或者弥补产品生产过程卫生条件不佳而超</w:t>
      </w:r>
      <w:r>
        <w:rPr>
          <w:rFonts w:hint="eastAsia" w:eastAsia="仿宋_GB2312" w:cs="Times New Roman"/>
          <w:color w:val="000000" w:themeColor="text1"/>
          <w:sz w:val="32"/>
          <w:szCs w:val="32"/>
          <w:highlight w:val="none"/>
          <w:lang w:val="en-US" w:eastAsia="zh-CN"/>
          <w14:textFill>
            <w14:solidFill>
              <w14:schemeClr w14:val="tx1"/>
            </w14:solidFill>
          </w14:textFill>
        </w:rPr>
        <w:t>范围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使用。</w:t>
      </w:r>
    </w:p>
    <w:p>
      <w:pPr>
        <w:numPr>
          <w:ilvl w:val="0"/>
          <w:numId w:val="0"/>
        </w:numPr>
        <w:spacing w:line="594" w:lineRule="exact"/>
        <w:ind w:firstLine="640" w:firstLineChars="200"/>
        <w:rPr>
          <w:rFonts w:hint="default" w:ascii="Times New Roman" w:hAnsi="Times New Roman" w:eastAsia="黑体" w:cs="Times New Roman"/>
          <w:spacing w:val="0"/>
          <w:sz w:val="32"/>
          <w:szCs w:val="32"/>
        </w:rPr>
      </w:pPr>
      <w:r>
        <w:rPr>
          <w:rFonts w:hint="eastAsia" w:ascii="Times New Roman" w:hAnsi="Times New Roman" w:eastAsia="黑体" w:cs="Times New Roman"/>
          <w:color w:val="auto"/>
          <w:spacing w:val="0"/>
          <w:sz w:val="32"/>
          <w:szCs w:val="32"/>
          <w:highlight w:val="none"/>
          <w:lang w:val="en-US" w:eastAsia="zh-CN"/>
        </w:rPr>
        <w:t>四、</w:t>
      </w:r>
      <w:r>
        <w:rPr>
          <w:rFonts w:hint="default" w:ascii="Times New Roman" w:hAnsi="Times New Roman" w:eastAsia="黑体" w:cs="Times New Roman"/>
          <w:spacing w:val="0"/>
          <w:sz w:val="32"/>
          <w:szCs w:val="32"/>
        </w:rPr>
        <w:t>山梨酸及其钾盐</w:t>
      </w:r>
      <w:r>
        <w:rPr>
          <w:rFonts w:hint="eastAsia" w:ascii="Times New Roman" w:hAnsi="Times New Roman" w:eastAsia="黑体" w:cs="Times New Roman"/>
          <w:spacing w:val="0"/>
          <w:sz w:val="32"/>
          <w:szCs w:val="32"/>
          <w:lang w:eastAsia="zh-CN"/>
        </w:rPr>
        <w:t>（</w:t>
      </w:r>
      <w:r>
        <w:rPr>
          <w:rFonts w:hint="default" w:ascii="Times New Roman" w:hAnsi="Times New Roman" w:eastAsia="黑体" w:cs="Times New Roman"/>
          <w:spacing w:val="0"/>
          <w:sz w:val="32"/>
          <w:szCs w:val="32"/>
        </w:rPr>
        <w:t>以山梨酸计</w:t>
      </w:r>
      <w:r>
        <w:rPr>
          <w:rFonts w:hint="eastAsia" w:ascii="Times New Roman" w:hAnsi="Times New Roman" w:eastAsia="黑体" w:cs="Times New Roman"/>
          <w:spacing w:val="0"/>
          <w:sz w:val="32"/>
          <w:szCs w:val="32"/>
          <w:lang w:eastAsia="zh-CN"/>
        </w:rPr>
        <w:t>）</w:t>
      </w:r>
    </w:p>
    <w:p>
      <w:pPr>
        <w:spacing w:line="594" w:lineRule="exact"/>
        <w:ind w:firstLine="640" w:firstLineChars="200"/>
        <w:rPr>
          <w:rFonts w:hint="default" w:ascii="Times New Roman" w:hAnsi="Times New Roman" w:eastAsia="黑体" w:cs="Times New Roman"/>
          <w:color w:val="auto"/>
          <w:spacing w:val="0"/>
          <w:sz w:val="32"/>
          <w:szCs w:val="32"/>
          <w:highlight w:val="none"/>
          <w:lang w:val="en-US" w:eastAsia="zh-CN"/>
        </w:rPr>
      </w:pPr>
      <w:r>
        <w:rPr>
          <w:rFonts w:hint="eastAsia" w:ascii="Times New Roman" w:hAnsi="Times New Roman" w:eastAsia="仿宋_GB2312" w:cs="Times New Roman"/>
          <w:spacing w:val="0"/>
          <w:sz w:val="32"/>
          <w:szCs w:val="32"/>
          <w:lang w:val="en-US" w:eastAsia="zh-CN"/>
        </w:rPr>
        <w:t>山梨酸及其钾盐抗菌性强，防腐效果好，是目前应用非常广泛的食品防腐剂。长期食用山梨酸及其钾盐超标的食品，可能对肝脏、肾脏、骨骼生长造成危害。</w:t>
      </w:r>
      <w:r>
        <w:rPr>
          <w:rFonts w:hint="default" w:ascii="Times New Roman" w:hAnsi="Times New Roman" w:eastAsia="仿宋_GB2312" w:cs="Times New Roman"/>
          <w:spacing w:val="0"/>
          <w:sz w:val="32"/>
          <w:szCs w:val="32"/>
        </w:rPr>
        <w:t>《食品安全国家标准 食品添加剂使用标准》（GB 2760</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20</w:t>
      </w:r>
      <w:r>
        <w:rPr>
          <w:rFonts w:hint="eastAsia" w:ascii="Times New Roman" w:hAnsi="Times New Roman" w:eastAsia="仿宋_GB2312" w:cs="Times New Roman"/>
          <w:spacing w:val="0"/>
          <w:sz w:val="32"/>
          <w:szCs w:val="32"/>
          <w:lang w:val="en-US" w:eastAsia="zh-CN"/>
        </w:rPr>
        <w:t>2</w:t>
      </w:r>
      <w:r>
        <w:rPr>
          <w:rFonts w:hint="default" w:ascii="Times New Roman" w:hAnsi="Times New Roman" w:eastAsia="仿宋_GB2312" w:cs="Times New Roman"/>
          <w:spacing w:val="0"/>
          <w:sz w:val="32"/>
          <w:szCs w:val="32"/>
        </w:rPr>
        <w:t>4）中规定，</w:t>
      </w:r>
      <w:r>
        <w:rPr>
          <w:rFonts w:hint="eastAsia" w:ascii="Times New Roman" w:hAnsi="Times New Roman" w:eastAsia="仿宋_GB2312" w:cs="Times New Roman"/>
          <w:spacing w:val="0"/>
          <w:sz w:val="32"/>
          <w:szCs w:val="32"/>
          <w:lang w:eastAsia="zh-CN"/>
        </w:rPr>
        <w:t>粉丝粉条</w:t>
      </w:r>
      <w:r>
        <w:rPr>
          <w:rFonts w:hint="eastAsia" w:ascii="Times New Roman" w:hAnsi="Times New Roman" w:eastAsia="仿宋_GB2312" w:cs="Times New Roman"/>
          <w:spacing w:val="0"/>
          <w:sz w:val="32"/>
          <w:szCs w:val="32"/>
          <w:lang w:val="en-US" w:eastAsia="zh-CN"/>
        </w:rPr>
        <w:t>中不得使用山梨酸及其钾盐（以山梨酸计），</w:t>
      </w:r>
      <w:r>
        <w:rPr>
          <w:rFonts w:hint="eastAsia" w:eastAsia="仿宋_GB2312" w:cs="Times New Roman"/>
          <w:sz w:val="32"/>
          <w:szCs w:val="32"/>
          <w:highlight w:val="none"/>
          <w:lang w:val="en-US" w:eastAsia="zh-CN"/>
        </w:rPr>
        <w:t>豆干再制品、</w:t>
      </w:r>
      <w:r>
        <w:rPr>
          <w:rFonts w:ascii="Times New Roman" w:hAnsi="Times New Roman" w:eastAsia="仿宋_GB2312" w:cs="Times New Roman"/>
          <w:i w:val="0"/>
          <w:iCs w:val="0"/>
          <w:caps w:val="0"/>
          <w:spacing w:val="0"/>
          <w:sz w:val="32"/>
          <w:szCs w:val="32"/>
          <w:u w:val="none"/>
          <w:shd w:val="clear"/>
        </w:rPr>
        <w:fldChar w:fldCharType="begin"/>
      </w:r>
      <w:r>
        <w:rPr>
          <w:rFonts w:ascii="Times New Roman" w:hAnsi="Times New Roman" w:eastAsia="仿宋_GB2312" w:cs="Times New Roman"/>
          <w:i w:val="0"/>
          <w:iCs w:val="0"/>
          <w:caps w:val="0"/>
          <w:spacing w:val="0"/>
          <w:sz w:val="32"/>
          <w:szCs w:val="32"/>
          <w:u w:val="none"/>
          <w:shd w:val="clear"/>
        </w:rPr>
        <w:instrText xml:space="preserve"> HYPERLINK "https://2760.foodmate.net/category/limit/115.html" </w:instrText>
      </w:r>
      <w:r>
        <w:rPr>
          <w:rFonts w:ascii="Times New Roman" w:hAnsi="Times New Roman" w:eastAsia="仿宋_GB2312" w:cs="Times New Roman"/>
          <w:i w:val="0"/>
          <w:iCs w:val="0"/>
          <w:caps w:val="0"/>
          <w:spacing w:val="0"/>
          <w:sz w:val="32"/>
          <w:szCs w:val="32"/>
          <w:u w:val="none"/>
          <w:shd w:val="clear"/>
        </w:rPr>
        <w:fldChar w:fldCharType="separate"/>
      </w:r>
      <w:r>
        <w:rPr>
          <w:rFonts w:hint="default" w:ascii="Times New Roman" w:hAnsi="Times New Roman" w:eastAsia="仿宋_GB2312" w:cs="Times New Roman"/>
          <w:i w:val="0"/>
          <w:iCs w:val="0"/>
          <w:caps w:val="0"/>
          <w:spacing w:val="0"/>
          <w:sz w:val="32"/>
          <w:szCs w:val="32"/>
          <w:u w:val="none"/>
          <w:shd w:val="clear"/>
        </w:rPr>
        <w:t>新型豆制品</w:t>
      </w:r>
      <w:r>
        <w:rPr>
          <w:rFonts w:hint="default" w:ascii="Times New Roman" w:hAnsi="Times New Roman" w:eastAsia="仿宋_GB2312" w:cs="Times New Roman"/>
          <w:i w:val="0"/>
          <w:iCs w:val="0"/>
          <w:caps w:val="0"/>
          <w:spacing w:val="0"/>
          <w:sz w:val="32"/>
          <w:szCs w:val="32"/>
          <w:u w:val="none"/>
          <w:shd w:val="clear"/>
        </w:rPr>
        <w:fldChar w:fldCharType="end"/>
      </w:r>
      <w:r>
        <w:rPr>
          <w:rFonts w:hint="eastAsia" w:eastAsia="仿宋_GB2312" w:cs="Times New Roman"/>
          <w:sz w:val="32"/>
          <w:szCs w:val="32"/>
          <w:lang w:val="en-US" w:eastAsia="zh-CN"/>
        </w:rPr>
        <w:t>中</w:t>
      </w:r>
      <w:r>
        <w:rPr>
          <w:rFonts w:hint="default" w:ascii="Times New Roman" w:hAnsi="Times New Roman" w:eastAsia="仿宋_GB2312" w:cs="Times New Roman"/>
          <w:sz w:val="32"/>
          <w:szCs w:val="32"/>
          <w:lang w:val="en-US" w:eastAsia="zh-CN"/>
        </w:rPr>
        <w:t>山梨酸及其钾盐</w:t>
      </w:r>
      <w:r>
        <w:rPr>
          <w:rFonts w:hint="eastAsia" w:ascii="Times New Roman" w:hAnsi="Times New Roman" w:eastAsia="仿宋_GB2312" w:cs="Times New Roman"/>
          <w:spacing w:val="0"/>
          <w:sz w:val="32"/>
          <w:szCs w:val="32"/>
          <w:lang w:val="en-US" w:eastAsia="zh-CN"/>
        </w:rPr>
        <w:t>（以山梨酸计）</w:t>
      </w:r>
      <w:r>
        <w:rPr>
          <w:rFonts w:hint="default" w:ascii="Times New Roman" w:hAnsi="Times New Roman" w:eastAsia="仿宋_GB2312" w:cs="Times New Roman"/>
          <w:sz w:val="32"/>
          <w:szCs w:val="32"/>
          <w:lang w:val="en-US" w:eastAsia="zh-CN"/>
        </w:rPr>
        <w:t>的最大使用量为1.0</w:t>
      </w:r>
      <w:r>
        <w:rPr>
          <w:rFonts w:hint="default" w:ascii="Times New Roman" w:hAnsi="Times New Roman" w:eastAsia="仿宋_GB2312" w:cs="Times New Roman"/>
          <w:sz w:val="32"/>
          <w:szCs w:val="32"/>
        </w:rPr>
        <w:t>g/kg</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pacing w:val="0"/>
          <w:sz w:val="32"/>
          <w:szCs w:val="32"/>
          <w:lang w:val="en-US" w:eastAsia="zh-CN"/>
        </w:rPr>
        <w:t>粉丝粉条</w:t>
      </w:r>
      <w:r>
        <w:rPr>
          <w:rFonts w:hint="eastAsia" w:ascii="Times New Roman" w:hAnsi="Times New Roman" w:eastAsia="仿宋_GB2312" w:cs="Times New Roman"/>
          <w:i w:val="0"/>
          <w:iCs w:val="0"/>
          <w:caps w:val="0"/>
          <w:spacing w:val="0"/>
          <w:sz w:val="32"/>
          <w:szCs w:val="32"/>
          <w:u w:val="none"/>
          <w:shd w:val="clear"/>
          <w:lang w:eastAsia="zh-CN"/>
        </w:rPr>
        <w:t>、</w:t>
      </w:r>
      <w:r>
        <w:rPr>
          <w:rFonts w:ascii="Times New Roman" w:hAnsi="Times New Roman" w:eastAsia="仿宋_GB2312" w:cs="Times New Roman"/>
          <w:i w:val="0"/>
          <w:iCs w:val="0"/>
          <w:caps w:val="0"/>
          <w:spacing w:val="0"/>
          <w:sz w:val="32"/>
          <w:szCs w:val="32"/>
          <w:u w:val="none"/>
          <w:shd w:val="clear"/>
        </w:rPr>
        <w:fldChar w:fldCharType="begin"/>
      </w:r>
      <w:r>
        <w:rPr>
          <w:rFonts w:ascii="Times New Roman" w:hAnsi="Times New Roman" w:eastAsia="仿宋_GB2312" w:cs="Times New Roman"/>
          <w:i w:val="0"/>
          <w:iCs w:val="0"/>
          <w:caps w:val="0"/>
          <w:spacing w:val="0"/>
          <w:sz w:val="32"/>
          <w:szCs w:val="32"/>
          <w:u w:val="none"/>
          <w:shd w:val="clear"/>
        </w:rPr>
        <w:instrText xml:space="preserve"> HYPERLINK "https://2760.foodmate.net/category/limit/115.html" </w:instrText>
      </w:r>
      <w:r>
        <w:rPr>
          <w:rFonts w:ascii="Times New Roman" w:hAnsi="Times New Roman" w:eastAsia="仿宋_GB2312" w:cs="Times New Roman"/>
          <w:i w:val="0"/>
          <w:iCs w:val="0"/>
          <w:caps w:val="0"/>
          <w:spacing w:val="0"/>
          <w:sz w:val="32"/>
          <w:szCs w:val="32"/>
          <w:u w:val="none"/>
          <w:shd w:val="clear"/>
        </w:rPr>
        <w:fldChar w:fldCharType="separate"/>
      </w:r>
      <w:r>
        <w:rPr>
          <w:rFonts w:hint="default" w:ascii="Times New Roman" w:hAnsi="Times New Roman" w:eastAsia="仿宋_GB2312" w:cs="Times New Roman"/>
          <w:i w:val="0"/>
          <w:iCs w:val="0"/>
          <w:caps w:val="0"/>
          <w:spacing w:val="0"/>
          <w:sz w:val="32"/>
          <w:szCs w:val="32"/>
          <w:u w:val="none"/>
          <w:shd w:val="clear"/>
        </w:rPr>
        <w:t>新型豆制品</w:t>
      </w:r>
      <w:r>
        <w:rPr>
          <w:rFonts w:hint="default" w:ascii="Times New Roman" w:hAnsi="Times New Roman" w:eastAsia="仿宋_GB2312" w:cs="Times New Roman"/>
          <w:i w:val="0"/>
          <w:iCs w:val="0"/>
          <w:caps w:val="0"/>
          <w:spacing w:val="0"/>
          <w:sz w:val="32"/>
          <w:szCs w:val="32"/>
          <w:u w:val="none"/>
          <w:shd w:val="clear"/>
        </w:rPr>
        <w:fldChar w:fldCharType="end"/>
      </w:r>
      <w:r>
        <w:rPr>
          <w:rFonts w:hint="eastAsia" w:ascii="Times New Roman" w:hAnsi="Times New Roman" w:eastAsia="仿宋_GB2312" w:cs="Times New Roman"/>
          <w:spacing w:val="0"/>
          <w:sz w:val="32"/>
          <w:szCs w:val="32"/>
          <w:lang w:val="en-US" w:eastAsia="zh-CN"/>
        </w:rPr>
        <w:t>、</w:t>
      </w:r>
      <w:r>
        <w:rPr>
          <w:rFonts w:hint="eastAsia" w:eastAsia="仿宋_GB2312" w:cs="Times New Roman"/>
          <w:sz w:val="32"/>
          <w:szCs w:val="32"/>
          <w:highlight w:val="none"/>
          <w:lang w:val="en-US" w:eastAsia="zh-CN"/>
        </w:rPr>
        <w:t>进口豆干再制品</w:t>
      </w:r>
      <w:r>
        <w:rPr>
          <w:rFonts w:hint="eastAsia" w:ascii="Times New Roman" w:hAnsi="Times New Roman" w:eastAsia="仿宋_GB2312" w:cs="Times New Roman"/>
          <w:spacing w:val="0"/>
          <w:sz w:val="32"/>
          <w:szCs w:val="32"/>
          <w:lang w:val="en-US" w:eastAsia="zh-CN"/>
        </w:rPr>
        <w:t>中山梨酸及其钾盐（以山梨酸计）检验值超标</w:t>
      </w:r>
      <w:r>
        <w:rPr>
          <w:rFonts w:hint="default" w:ascii="Times New Roman" w:hAnsi="Times New Roman" w:eastAsia="仿宋_GB2312" w:cs="Times New Roman"/>
          <w:spacing w:val="0"/>
          <w:sz w:val="32"/>
          <w:szCs w:val="32"/>
        </w:rPr>
        <w:t>的原因，可能是生产经营企业为延长产品保质期或者弥补产品生产过程卫生条件不佳而超</w:t>
      </w:r>
      <w:r>
        <w:rPr>
          <w:rFonts w:hint="eastAsia" w:ascii="Times New Roman" w:hAnsi="Times New Roman" w:eastAsia="仿宋_GB2312" w:cs="Times New Roman"/>
          <w:spacing w:val="0"/>
          <w:sz w:val="32"/>
          <w:szCs w:val="32"/>
          <w:lang w:val="en-US" w:eastAsia="zh-CN"/>
        </w:rPr>
        <w:t>范围</w:t>
      </w:r>
      <w:r>
        <w:rPr>
          <w:rFonts w:hint="default" w:ascii="Times New Roman" w:hAnsi="Times New Roman" w:eastAsia="仿宋_GB2312" w:cs="Times New Roman"/>
          <w:spacing w:val="0"/>
          <w:sz w:val="32"/>
          <w:szCs w:val="32"/>
        </w:rPr>
        <w:t>使用</w:t>
      </w:r>
      <w:r>
        <w:rPr>
          <w:rFonts w:hint="eastAsia" w:ascii="Times New Roman" w:hAnsi="Times New Roman" w:eastAsia="仿宋_GB2312" w:cs="Times New Roman"/>
          <w:spacing w:val="0"/>
          <w:sz w:val="32"/>
          <w:szCs w:val="32"/>
          <w:lang w:eastAsia="zh-CN"/>
        </w:rPr>
        <w:t>；</w:t>
      </w:r>
      <w:r>
        <w:rPr>
          <w:rFonts w:hint="eastAsia" w:eastAsia="仿宋_GB2312" w:cs="Times New Roman"/>
          <w:sz w:val="32"/>
          <w:szCs w:val="32"/>
          <w:lang w:val="en-US" w:eastAsia="zh-CN"/>
        </w:rPr>
        <w:t>也可能是在使用过程中未准确计量；还可能是</w:t>
      </w:r>
      <w:r>
        <w:rPr>
          <w:rFonts w:hint="default" w:eastAsia="仿宋_GB2312" w:cs="Times New Roman"/>
          <w:sz w:val="32"/>
          <w:szCs w:val="32"/>
          <w:lang w:val="en-US" w:eastAsia="zh-CN"/>
        </w:rPr>
        <w:t>对</w:t>
      </w:r>
      <w:r>
        <w:rPr>
          <w:rFonts w:ascii="Times New Roman" w:hAnsi="Times New Roman" w:eastAsia="仿宋_GB2312" w:cs="Times New Roman"/>
          <w:sz w:val="32"/>
          <w:szCs w:val="32"/>
        </w:rPr>
        <w:t>中国大陆</w:t>
      </w:r>
      <w:r>
        <w:rPr>
          <w:rFonts w:hint="default" w:eastAsia="仿宋_GB2312" w:cs="Times New Roman"/>
          <w:sz w:val="32"/>
          <w:szCs w:val="32"/>
          <w:lang w:val="en-US" w:eastAsia="zh-CN"/>
        </w:rPr>
        <w:t>相关标</w:t>
      </w:r>
      <w:r>
        <w:rPr>
          <w:rFonts w:hint="eastAsia" w:eastAsia="仿宋_GB2312" w:cs="Times New Roman"/>
          <w:sz w:val="32"/>
          <w:szCs w:val="32"/>
          <w:lang w:val="en-US" w:eastAsia="zh-CN"/>
        </w:rPr>
        <w:t>准要求不了解所致。</w:t>
      </w:r>
    </w:p>
    <w:p>
      <w:pPr>
        <w:numPr>
          <w:ilvl w:val="0"/>
          <w:numId w:val="0"/>
        </w:numPr>
        <w:spacing w:line="594" w:lineRule="exact"/>
        <w:ind w:firstLine="640" w:firstLineChars="200"/>
        <w:rPr>
          <w:rFonts w:hint="default" w:ascii="Times New Roman" w:hAnsi="Times New Roman" w:eastAsia="黑体" w:cs="Times New Roman"/>
          <w:spacing w:val="0"/>
          <w:sz w:val="32"/>
          <w:szCs w:val="32"/>
        </w:rPr>
      </w:pP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spacing w:val="0"/>
          <w:sz w:val="32"/>
          <w:szCs w:val="32"/>
        </w:rPr>
        <w:t>脱氢乙酸及其钠盐</w:t>
      </w:r>
      <w:r>
        <w:rPr>
          <w:rFonts w:hint="eastAsia" w:ascii="Times New Roman" w:hAnsi="Times New Roman" w:eastAsia="黑体" w:cs="Times New Roman"/>
          <w:spacing w:val="0"/>
          <w:sz w:val="32"/>
          <w:szCs w:val="32"/>
          <w:lang w:eastAsia="zh-CN"/>
        </w:rPr>
        <w:t>（</w:t>
      </w:r>
      <w:r>
        <w:rPr>
          <w:rFonts w:hint="default" w:ascii="Times New Roman" w:hAnsi="Times New Roman" w:eastAsia="黑体" w:cs="Times New Roman"/>
          <w:spacing w:val="0"/>
          <w:sz w:val="32"/>
          <w:szCs w:val="32"/>
        </w:rPr>
        <w:t>以脱氢乙酸计</w:t>
      </w:r>
      <w:r>
        <w:rPr>
          <w:rFonts w:hint="eastAsia" w:ascii="Times New Roman" w:hAnsi="Times New Roman" w:eastAsia="黑体" w:cs="Times New Roman"/>
          <w:spacing w:val="0"/>
          <w:sz w:val="32"/>
          <w:szCs w:val="32"/>
          <w:lang w:eastAsia="zh-CN"/>
        </w:rPr>
        <w:t>）</w:t>
      </w:r>
    </w:p>
    <w:p>
      <w:pPr>
        <w:numPr>
          <w:ilvl w:val="-1"/>
          <w:numId w:val="0"/>
        </w:numPr>
        <w:spacing w:line="594" w:lineRule="exact"/>
        <w:ind w:firstLine="640" w:firstLineChars="200"/>
        <w:rPr>
          <w:rFonts w:hint="default"/>
          <w:lang w:val="en-US" w:eastAsia="zh-CN"/>
        </w:rPr>
      </w:pPr>
      <w:r>
        <w:rPr>
          <w:rFonts w:hint="eastAsia" w:ascii="Times New Roman" w:hAnsi="Times New Roman" w:eastAsia="仿宋_GB2312" w:cs="Times New Roman"/>
          <w:sz w:val="32"/>
          <w:szCs w:val="32"/>
          <w:lang w:val="en-US" w:eastAsia="zh-CN"/>
        </w:rPr>
        <w:t>脱氢乙酸及其钠盐作为一种广谱食品防腐剂，对霉菌和酵母菌的抑制能力强。脱氢乙酸及其钠盐能被人体完全吸收，并能抑制人体内多种氧化酶，长期过量摄入脱氢乙酸及其钠盐的食品会危害人体健康。</w:t>
      </w:r>
      <w:bookmarkStart w:id="0" w:name="hmcheck_1ceb93055b1543cc984b02229716b1fa"/>
      <w:r>
        <w:rPr>
          <w:rFonts w:hint="eastAsia" w:ascii="Times New Roman" w:hAnsi="Times New Roman" w:eastAsia="仿宋_GB2312" w:cs="Times New Roman"/>
          <w:sz w:val="32"/>
          <w:szCs w:val="32"/>
          <w:shd w:val="clear" w:fill="FFFFFF"/>
          <w:lang w:val="en-US" w:eastAsia="zh-CN"/>
        </w:rPr>
        <w:t>《食品安全国家标准 食品添加剂使用标准》（GB 2760—2024）中规定</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pacing w:val="0"/>
          <w:sz w:val="32"/>
          <w:szCs w:val="32"/>
          <w:lang w:val="en-US" w:eastAsia="zh-CN"/>
        </w:rPr>
        <w:t>粉丝粉条、</w:t>
      </w:r>
      <w:r>
        <w:rPr>
          <w:rFonts w:hint="eastAsia" w:ascii="Calibri" w:hAnsi="Calibri" w:eastAsia="仿宋_GB2312" w:cs="Times New Roman"/>
          <w:kern w:val="2"/>
          <w:sz w:val="32"/>
          <w:szCs w:val="32"/>
          <w:highlight w:val="none"/>
          <w:lang w:val="en-US" w:eastAsia="zh-CN" w:bidi="ar-SA"/>
        </w:rPr>
        <w:t>糕点</w:t>
      </w:r>
      <w:r>
        <w:rPr>
          <w:rFonts w:hint="eastAsia" w:ascii="Times New Roman" w:hAnsi="Times New Roman" w:eastAsia="仿宋_GB2312" w:cs="Times New Roman"/>
          <w:sz w:val="32"/>
          <w:szCs w:val="32"/>
          <w:lang w:val="en-US" w:eastAsia="zh-CN"/>
        </w:rPr>
        <w:t>中不得使用脱氢乙酸及其钠盐（以脱氢乙酸计）</w:t>
      </w:r>
      <w:bookmarkEnd w:id="0"/>
      <w:r>
        <w:rPr>
          <w:rFonts w:hint="eastAsia" w:ascii="Times New Roman" w:hAnsi="Times New Roman" w:eastAsia="仿宋_GB2312" w:cs="Times New Roman"/>
          <w:sz w:val="32"/>
          <w:szCs w:val="32"/>
          <w:lang w:val="en-US" w:eastAsia="zh-CN"/>
        </w:rPr>
        <w:t>，复合调味料中脱氢乙酸及其钠盐（以脱氢乙酸计）最大使用量为0.5g/kg。</w:t>
      </w:r>
      <w:r>
        <w:rPr>
          <w:rFonts w:hint="eastAsia" w:ascii="Times New Roman" w:hAnsi="Times New Roman" w:eastAsia="仿宋_GB2312" w:cs="Times New Roman"/>
          <w:spacing w:val="0"/>
          <w:sz w:val="32"/>
          <w:szCs w:val="32"/>
          <w:lang w:val="en-US" w:eastAsia="zh-CN"/>
        </w:rPr>
        <w:t>粉丝粉条、糕点、辣椒酱</w:t>
      </w:r>
      <w:r>
        <w:rPr>
          <w:rFonts w:hint="eastAsia" w:ascii="Times New Roman" w:hAnsi="Times New Roman" w:eastAsia="仿宋_GB2312" w:cs="Times New Roman"/>
          <w:sz w:val="32"/>
          <w:szCs w:val="32"/>
          <w:lang w:val="en-US" w:eastAsia="zh-CN"/>
        </w:rPr>
        <w:t>中脱氢乙酸及其钠盐（以脱氢乙酸计）检验值超标的原因，</w:t>
      </w:r>
      <w:r>
        <w:rPr>
          <w:rFonts w:hint="default" w:ascii="Times New Roman" w:hAnsi="Times New Roman" w:eastAsia="仿宋_GB2312" w:cs="Times New Roman"/>
          <w:spacing w:val="0"/>
          <w:sz w:val="32"/>
          <w:szCs w:val="32"/>
        </w:rPr>
        <w:t>可能是生产经营企业为延长产品保质期或者弥补产品生产过程卫生条件不佳而</w:t>
      </w:r>
      <w:r>
        <w:rPr>
          <w:rFonts w:hint="eastAsia" w:ascii="Times New Roman" w:hAnsi="Times New Roman" w:eastAsia="仿宋_GB2312" w:cs="Times New Roman"/>
          <w:spacing w:val="0"/>
          <w:sz w:val="32"/>
          <w:szCs w:val="32"/>
          <w:lang w:val="en-US" w:eastAsia="zh-CN"/>
        </w:rPr>
        <w:t>超范围超限量</w:t>
      </w:r>
      <w:r>
        <w:rPr>
          <w:rFonts w:hint="default" w:ascii="Times New Roman" w:hAnsi="Times New Roman" w:eastAsia="仿宋_GB2312" w:cs="Times New Roman"/>
          <w:spacing w:val="0"/>
          <w:sz w:val="32"/>
          <w:szCs w:val="32"/>
        </w:rPr>
        <w:t>使用</w:t>
      </w:r>
      <w:r>
        <w:rPr>
          <w:rFonts w:hint="eastAsia" w:ascii="Times New Roman" w:hAnsi="Times New Roman" w:eastAsia="仿宋_GB2312" w:cs="Times New Roman"/>
          <w:spacing w:val="0"/>
          <w:sz w:val="32"/>
          <w:szCs w:val="32"/>
          <w:lang w:val="en-US" w:eastAsia="zh-CN"/>
        </w:rPr>
        <w:t>；</w:t>
      </w:r>
      <w:r>
        <w:rPr>
          <w:rFonts w:hint="eastAsia" w:ascii="Times New Roman" w:hAnsi="Times New Roman" w:eastAsia="仿宋_GB2312" w:cs="Times New Roman"/>
          <w:sz w:val="32"/>
          <w:szCs w:val="32"/>
          <w:lang w:val="en-US" w:eastAsia="zh-CN"/>
        </w:rPr>
        <w:t>也可能是其使用的复配添加剂中含有该添加剂；</w:t>
      </w:r>
      <w:r>
        <w:rPr>
          <w:rFonts w:hint="eastAsia" w:ascii="Calibri" w:hAnsi="Calibri" w:eastAsia="仿宋_GB2312" w:cs="Times New Roman"/>
          <w:kern w:val="2"/>
          <w:sz w:val="32"/>
          <w:szCs w:val="32"/>
          <w:highlight w:val="none"/>
          <w:lang w:val="en-US" w:eastAsia="zh-CN" w:bidi="ar-SA"/>
        </w:rPr>
        <w:t>还</w:t>
      </w:r>
      <w:r>
        <w:rPr>
          <w:rFonts w:hint="default" w:ascii="Calibri" w:hAnsi="Calibri" w:eastAsia="仿宋_GB2312" w:cs="Times New Roman"/>
          <w:kern w:val="2"/>
          <w:sz w:val="32"/>
          <w:szCs w:val="32"/>
          <w:highlight w:val="none"/>
          <w:lang w:val="en-US" w:eastAsia="zh-CN" w:bidi="ar-SA"/>
        </w:rPr>
        <w:t>可能是在添加过程中未准确计量。</w:t>
      </w:r>
    </w:p>
    <w:p>
      <w:pPr>
        <w:spacing w:line="594" w:lineRule="exact"/>
        <w:ind w:firstLine="640" w:firstLineChars="200"/>
        <w:rPr>
          <w:rFonts w:hint="default" w:eastAsia="黑体"/>
          <w:spacing w:val="0"/>
          <w:sz w:val="32"/>
          <w:szCs w:val="32"/>
          <w:highlight w:val="none"/>
          <w:lang w:val="en-US" w:eastAsia="zh-CN"/>
        </w:rPr>
      </w:pPr>
      <w:r>
        <w:rPr>
          <w:rFonts w:hint="eastAsia" w:ascii="黑体" w:hAnsi="黑体" w:eastAsia="黑体" w:cs="黑体"/>
          <w:color w:val="000000"/>
          <w:sz w:val="32"/>
          <w:szCs w:val="32"/>
          <w:highlight w:val="none"/>
          <w:lang w:val="en-US" w:eastAsia="zh-CN"/>
        </w:rPr>
        <w:t>六、</w:t>
      </w:r>
      <w:r>
        <w:rPr>
          <w:rFonts w:hint="eastAsia" w:eastAsia="黑体"/>
          <w:spacing w:val="0"/>
          <w:sz w:val="32"/>
          <w:szCs w:val="32"/>
          <w:highlight w:val="none"/>
          <w:lang w:val="en-US" w:eastAsia="zh-CN"/>
        </w:rPr>
        <w:t>二氧化硫残留量</w:t>
      </w:r>
    </w:p>
    <w:p>
      <w:pPr>
        <w:adjustRightInd/>
        <w:spacing w:line="594" w:lineRule="exact"/>
        <w:ind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仿宋_GB2312" w:cs="Times New Roman"/>
          <w:sz w:val="32"/>
          <w:szCs w:val="32"/>
        </w:rPr>
        <w:t>二氧化硫是食品加工中常用的漂白剂和防腐剂，具有漂白、防腐和抗氧化作用。少量二氧化硫进入人体不会对身体造成健康危害，但过量食用会引起如恶心、呕吐等胃肠道反应。</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color w:val="auto"/>
          <w:sz w:val="32"/>
          <w:szCs w:val="32"/>
          <w:lang w:val="en-US" w:eastAsia="zh-CN"/>
        </w:rPr>
        <w:t>香辛料及粉（八角除外）中不得使用二氧化硫</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spacing w:val="0"/>
          <w:sz w:val="32"/>
          <w:szCs w:val="32"/>
          <w:highlight w:val="none"/>
          <w:lang w:val="en-US" w:eastAsia="zh-CN"/>
        </w:rPr>
        <w:t>腌渍的蔬菜中二氧化硫（以二氧化硫残留量计）最大使用量为0.1g/kg，蜜饯中二氧化硫（以二氧化硫残留量计）最大使用量为0.35g/kg</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auto"/>
          <w:sz w:val="32"/>
          <w:szCs w:val="32"/>
          <w:lang w:val="en-US" w:eastAsia="zh-CN"/>
        </w:rPr>
        <w:t>香辛料及粉（八角除外）</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spacing w:val="0"/>
          <w:sz w:val="32"/>
          <w:szCs w:val="32"/>
          <w:highlight w:val="none"/>
          <w:lang w:val="en-US" w:eastAsia="zh-CN"/>
        </w:rPr>
        <w:t>腌渍的蔬菜、蜜饯</w:t>
      </w:r>
      <w:r>
        <w:rPr>
          <w:rFonts w:hint="default" w:ascii="Times New Roman" w:hAnsi="Times New Roman" w:eastAsia="仿宋_GB2312" w:cs="Times New Roman"/>
          <w:color w:val="auto"/>
          <w:sz w:val="32"/>
          <w:szCs w:val="32"/>
          <w:lang w:val="en-US" w:eastAsia="zh-CN"/>
        </w:rPr>
        <w:t>中二氧化硫残留量超标的原因，可能是生产企业为改善产品色泽而超范围</w:t>
      </w:r>
      <w:r>
        <w:rPr>
          <w:rFonts w:hint="eastAsia" w:ascii="Times New Roman" w:hAnsi="Times New Roman" w:eastAsia="仿宋_GB2312" w:cs="Times New Roman"/>
          <w:color w:val="auto"/>
          <w:sz w:val="32"/>
          <w:szCs w:val="32"/>
          <w:lang w:val="en-US" w:eastAsia="zh-CN"/>
        </w:rPr>
        <w:t>超限量</w:t>
      </w:r>
      <w:r>
        <w:rPr>
          <w:rFonts w:hint="default" w:ascii="Times New Roman" w:hAnsi="Times New Roman" w:eastAsia="仿宋_GB2312" w:cs="Times New Roman"/>
          <w:color w:val="auto"/>
          <w:sz w:val="32"/>
          <w:szCs w:val="32"/>
          <w:lang w:val="en-US" w:eastAsia="zh-CN"/>
        </w:rPr>
        <w:t>使用二氧化硫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highlight w:val="none"/>
          <w:lang w:val="en-US" w:eastAsia="zh-CN" w:bidi="ar-SA"/>
        </w:rPr>
        <w:t>也可能是使用时不计量或计量不准确；还可能是由于使用硫磺熏蒸漂白传统工艺或直接使用亚硫酸盐浸泡保鲜所造成</w:t>
      </w:r>
      <w:r>
        <w:rPr>
          <w:rFonts w:hint="default" w:ascii="Times New Roman" w:hAnsi="Times New Roman" w:eastAsia="仿宋_GB2312" w:cs="Times New Roman"/>
          <w:kern w:val="2"/>
          <w:sz w:val="32"/>
          <w:szCs w:val="32"/>
          <w:highlight w:val="none"/>
          <w:lang w:val="en-US" w:eastAsia="zh-CN" w:bidi="ar-SA"/>
        </w:rPr>
        <w:t>。</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640" w:firstLineChars="200"/>
        <w:textAlignment w:val="auto"/>
        <w:rPr>
          <w:rFonts w:hint="eastAsia" w:ascii="黑体" w:hAnsi="黑体" w:eastAsia="黑体" w:cs="黑体"/>
          <w:szCs w:val="32"/>
          <w:highlight w:val="none"/>
          <w:lang w:eastAsia="zh-CN"/>
        </w:rPr>
      </w:pPr>
      <w:r>
        <w:rPr>
          <w:rFonts w:hint="eastAsia" w:ascii="黑体" w:hAnsi="黑体" w:eastAsia="黑体" w:cs="黑体"/>
          <w:sz w:val="32"/>
          <w:szCs w:val="32"/>
          <w:lang w:val="en-US" w:eastAsia="zh-CN"/>
        </w:rPr>
        <w:t>七、</w:t>
      </w:r>
      <w:r>
        <w:rPr>
          <w:rFonts w:hint="eastAsia" w:ascii="黑体" w:hAnsi="黑体" w:eastAsia="黑体" w:cs="黑体"/>
          <w:szCs w:val="32"/>
          <w:highlight w:val="none"/>
          <w:lang w:val="en-US" w:eastAsia="zh-CN"/>
        </w:rPr>
        <w:t>纳他霉素</w:t>
      </w:r>
    </w:p>
    <w:p>
      <w:pPr>
        <w:keepNext w:val="0"/>
        <w:keepLines w:val="0"/>
        <w:pageBreakBefore w:val="0"/>
        <w:widowControl w:val="0"/>
        <w:kinsoku/>
        <w:wordWrap/>
        <w:overflowPunct/>
        <w:topLinePunct w:val="0"/>
        <w:autoSpaceDE w:val="0"/>
        <w:autoSpaceDN/>
        <w:bidi w:val="0"/>
        <w:adjustRightInd/>
        <w:snapToGrid/>
        <w:spacing w:line="594" w:lineRule="exact"/>
        <w:ind w:right="0"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纳他霉素是一种由链霉菌发酵产生的天然抗真菌化合物，属于多烯大环内酯类，是一种食品防腐剂。如果食用过量，纳他霉素可中和抗体，损害健康。</w:t>
      </w:r>
      <w:r>
        <w:rPr>
          <w:rFonts w:hint="eastAsia" w:ascii="Times New Roman" w:hAnsi="Times New Roman" w:eastAsia="仿宋_GB2312"/>
          <w:spacing w:val="0"/>
          <w:sz w:val="32"/>
          <w:szCs w:val="32"/>
        </w:rPr>
        <w:t>《</w:t>
      </w:r>
      <w:r>
        <w:rPr>
          <w:rFonts w:hint="eastAsia" w:ascii="Times New Roman" w:hAnsi="Times New Roman" w:eastAsia="仿宋_GB2312"/>
          <w:sz w:val="32"/>
          <w:szCs w:val="32"/>
        </w:rPr>
        <w:t xml:space="preserve">食品安全国家标准 </w:t>
      </w:r>
      <w:r>
        <w:rPr>
          <w:rFonts w:hint="eastAsia" w:ascii="Times New Roman" w:hAnsi="Times New Roman" w:eastAsia="仿宋_GB2312"/>
          <w:sz w:val="32"/>
          <w:szCs w:val="32"/>
          <w:lang w:val="en-US" w:eastAsia="zh-CN"/>
        </w:rPr>
        <w:t>食品添加剂使用标准</w:t>
      </w:r>
      <w:r>
        <w:rPr>
          <w:rFonts w:hint="eastAsia" w:ascii="Times New Roman" w:hAnsi="Times New Roman" w:eastAsia="仿宋_GB2312"/>
          <w:spacing w:val="0"/>
          <w:sz w:val="32"/>
          <w:szCs w:val="32"/>
        </w:rPr>
        <w:t xml:space="preserve">》（GB </w:t>
      </w:r>
      <w:r>
        <w:rPr>
          <w:rFonts w:hint="eastAsia" w:ascii="Times New Roman" w:hAnsi="Times New Roman" w:eastAsia="仿宋_GB2312"/>
          <w:spacing w:val="0"/>
          <w:sz w:val="32"/>
          <w:szCs w:val="32"/>
          <w:lang w:val="en-US" w:eastAsia="zh-CN"/>
        </w:rPr>
        <w:t>2760</w:t>
      </w:r>
      <w:r>
        <w:rPr>
          <w:rFonts w:hint="eastAsia" w:eastAsia="仿宋_GB2312"/>
          <w:kern w:val="0"/>
          <w:sz w:val="32"/>
          <w:szCs w:val="32"/>
        </w:rPr>
        <w:t>—</w:t>
      </w:r>
      <w:r>
        <w:rPr>
          <w:rFonts w:hint="eastAsia" w:ascii="Times New Roman" w:hAnsi="Times New Roman" w:eastAsia="仿宋_GB2312"/>
          <w:spacing w:val="0"/>
          <w:sz w:val="32"/>
          <w:szCs w:val="32"/>
        </w:rPr>
        <w:t>20</w:t>
      </w:r>
      <w:r>
        <w:rPr>
          <w:rFonts w:hint="eastAsia" w:ascii="Times New Roman" w:hAnsi="Times New Roman" w:eastAsia="仿宋_GB2312"/>
          <w:spacing w:val="0"/>
          <w:sz w:val="32"/>
          <w:szCs w:val="32"/>
          <w:lang w:val="en-US" w:eastAsia="zh-CN"/>
        </w:rPr>
        <w:t>24</w:t>
      </w:r>
      <w:r>
        <w:rPr>
          <w:rFonts w:hint="eastAsia" w:ascii="Times New Roman" w:hAnsi="Times New Roman" w:eastAsia="仿宋_GB2312"/>
          <w:spacing w:val="0"/>
          <w:sz w:val="32"/>
          <w:szCs w:val="32"/>
        </w:rPr>
        <w:t>）中规定，</w:t>
      </w:r>
      <w:r>
        <w:rPr>
          <w:rFonts w:hint="eastAsia" w:ascii="Times New Roman" w:hAnsi="Times New Roman" w:eastAsia="仿宋_GB2312"/>
          <w:spacing w:val="0"/>
          <w:sz w:val="32"/>
          <w:szCs w:val="32"/>
          <w:lang w:val="en-US" w:eastAsia="zh-CN"/>
        </w:rPr>
        <w:t>酱卤肉制品中纳他霉素的</w:t>
      </w:r>
      <w:r>
        <w:rPr>
          <w:rFonts w:hint="eastAsia" w:ascii="Times New Roman" w:hAnsi="Times New Roman" w:eastAsia="仿宋_GB2312"/>
          <w:spacing w:val="0"/>
          <w:sz w:val="32"/>
          <w:szCs w:val="32"/>
        </w:rPr>
        <w:t>最大</w:t>
      </w:r>
      <w:r>
        <w:rPr>
          <w:rFonts w:hint="eastAsia" w:ascii="Times New Roman" w:hAnsi="Times New Roman" w:eastAsia="仿宋_GB2312"/>
          <w:spacing w:val="0"/>
          <w:sz w:val="32"/>
          <w:szCs w:val="32"/>
          <w:lang w:val="en-US" w:eastAsia="zh-CN"/>
        </w:rPr>
        <w:t>残留量＜10m</w:t>
      </w:r>
      <w:r>
        <w:rPr>
          <w:rFonts w:hint="eastAsia" w:ascii="Times New Roman" w:hAnsi="Times New Roman" w:eastAsia="仿宋_GB2312"/>
          <w:spacing w:val="0"/>
          <w:sz w:val="32"/>
          <w:szCs w:val="32"/>
        </w:rPr>
        <w:t>g/</w:t>
      </w:r>
      <w:r>
        <w:rPr>
          <w:rFonts w:hint="eastAsia" w:ascii="Times New Roman" w:hAnsi="Times New Roman" w:eastAsia="仿宋_GB2312"/>
          <w:spacing w:val="0"/>
          <w:sz w:val="32"/>
          <w:szCs w:val="32"/>
          <w:lang w:val="en-US" w:eastAsia="zh-CN"/>
        </w:rPr>
        <w:t>k</w:t>
      </w:r>
      <w:r>
        <w:rPr>
          <w:rFonts w:hint="eastAsia" w:ascii="Times New Roman" w:hAnsi="Times New Roman" w:eastAsia="仿宋_GB2312"/>
          <w:spacing w:val="0"/>
          <w:sz w:val="32"/>
          <w:szCs w:val="32"/>
        </w:rPr>
        <w:t>g。</w:t>
      </w:r>
      <w:r>
        <w:rPr>
          <w:rFonts w:hint="eastAsia" w:ascii="Times New Roman" w:hAnsi="Times New Roman" w:eastAsia="仿宋_GB2312"/>
          <w:spacing w:val="0"/>
          <w:sz w:val="32"/>
          <w:szCs w:val="32"/>
          <w:lang w:val="en-US" w:eastAsia="zh-CN"/>
        </w:rPr>
        <w:t>酱卤肉制品</w:t>
      </w:r>
      <w:r>
        <w:rPr>
          <w:rFonts w:hint="eastAsia" w:ascii="Times New Roman" w:hAnsi="Times New Roman" w:eastAsia="仿宋_GB2312"/>
          <w:sz w:val="32"/>
          <w:szCs w:val="32"/>
        </w:rPr>
        <w:t>中</w:t>
      </w:r>
      <w:r>
        <w:rPr>
          <w:rFonts w:hint="eastAsia" w:eastAsia="仿宋_GB2312"/>
          <w:sz w:val="32"/>
          <w:szCs w:val="32"/>
          <w:lang w:val="en-US" w:eastAsia="zh-CN"/>
        </w:rPr>
        <w:t>纳他霉素</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残留量</w:t>
      </w:r>
      <w:r>
        <w:rPr>
          <w:rFonts w:hint="eastAsia" w:eastAsia="仿宋_GB2312"/>
          <w:sz w:val="32"/>
          <w:szCs w:val="32"/>
        </w:rPr>
        <w:t>超标</w:t>
      </w:r>
      <w:r>
        <w:rPr>
          <w:rFonts w:hint="eastAsia" w:eastAsia="仿宋_GB2312"/>
          <w:sz w:val="32"/>
          <w:szCs w:val="32"/>
          <w:lang w:val="en-US" w:eastAsia="zh-CN"/>
        </w:rPr>
        <w:t>的</w:t>
      </w:r>
      <w:r>
        <w:rPr>
          <w:rFonts w:hint="eastAsia" w:eastAsia="仿宋_GB2312"/>
          <w:sz w:val="32"/>
          <w:szCs w:val="32"/>
        </w:rPr>
        <w:t>原因</w:t>
      </w:r>
      <w:r>
        <w:rPr>
          <w:rFonts w:hint="eastAsia" w:ascii="Times New Roman" w:hAnsi="Times New Roman" w:eastAsia="仿宋_GB2312"/>
          <w:sz w:val="32"/>
          <w:szCs w:val="32"/>
        </w:rPr>
        <w:t>，</w:t>
      </w:r>
      <w:r>
        <w:rPr>
          <w:rFonts w:hint="default" w:ascii="Times New Roman" w:hAnsi="Times New Roman" w:eastAsia="仿宋_GB2312" w:cs="Times New Roman"/>
          <w:color w:val="auto"/>
          <w:sz w:val="32"/>
          <w:szCs w:val="32"/>
          <w:highlight w:val="none"/>
        </w:rPr>
        <w:t>可能是个别生产经营企业为防止食品腐败变质，超量使用添加剂</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也可能是生产过程使用方式不是采用表面使用</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还</w:t>
      </w:r>
      <w:r>
        <w:rPr>
          <w:rFonts w:hint="default" w:ascii="Times New Roman" w:hAnsi="Times New Roman" w:eastAsia="仿宋_GB2312" w:cs="Times New Roman"/>
          <w:color w:val="auto"/>
          <w:sz w:val="32"/>
          <w:szCs w:val="32"/>
          <w:highlight w:val="none"/>
        </w:rPr>
        <w:t>可能是在添加过程中未计量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计量不准确</w:t>
      </w:r>
      <w:r>
        <w:rPr>
          <w:rFonts w:hint="eastAsia" w:ascii="Times New Roman" w:hAnsi="Times New Roman" w:eastAsia="仿宋_GB2312" w:cs="Times New Roman"/>
          <w:color w:val="auto"/>
          <w:sz w:val="32"/>
          <w:szCs w:val="32"/>
          <w:lang w:val="en-US" w:eastAsia="zh-CN"/>
        </w:rPr>
        <w:t>或者</w:t>
      </w:r>
      <w:r>
        <w:rPr>
          <w:rFonts w:hint="default" w:ascii="Times New Roman" w:hAnsi="Times New Roman" w:eastAsia="仿宋_GB2312" w:cs="Times New Roman"/>
          <w:color w:val="auto"/>
          <w:sz w:val="32"/>
          <w:szCs w:val="32"/>
          <w:highlight w:val="none"/>
        </w:rPr>
        <w:t>使用的复配添加剂中该添加剂</w:t>
      </w:r>
      <w:r>
        <w:rPr>
          <w:rFonts w:hint="eastAsia" w:ascii="Times New Roman" w:hAnsi="Times New Roman" w:eastAsia="仿宋_GB2312" w:cs="Times New Roman"/>
          <w:color w:val="auto"/>
          <w:sz w:val="32"/>
          <w:szCs w:val="32"/>
          <w:highlight w:val="none"/>
          <w:lang w:val="en-US" w:eastAsia="zh-CN"/>
        </w:rPr>
        <w:t>未合并计算</w:t>
      </w:r>
      <w:r>
        <w:rPr>
          <w:rFonts w:hint="default" w:ascii="Times New Roman" w:hAnsi="Times New Roman"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八、</w:t>
      </w:r>
      <w:r>
        <w:rPr>
          <w:rFonts w:hint="eastAsia" w:ascii="Times New Roman" w:hAnsi="Times New Roman" w:eastAsia="黑体" w:cs="Times New Roman"/>
          <w:color w:val="auto"/>
          <w:sz w:val="32"/>
          <w:szCs w:val="32"/>
          <w:highlight w:val="none"/>
          <w:lang w:val="en-US" w:eastAsia="zh-CN"/>
        </w:rPr>
        <w:t>糖精钠（以糖精计）</w:t>
      </w:r>
    </w:p>
    <w:p>
      <w:pPr>
        <w:pStyle w:val="9"/>
        <w:spacing w:after="0" w:line="594"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kern w:val="2"/>
          <w:sz w:val="32"/>
          <w:szCs w:val="32"/>
          <w:highlight w:val="none"/>
          <w:lang w:val="en-US" w:eastAsia="zh-CN" w:bidi="ar-SA"/>
        </w:rPr>
        <w:t>糖精钠（以糖精计）是</w:t>
      </w:r>
      <w:r>
        <w:rPr>
          <w:rFonts w:hint="eastAsia" w:ascii="Times New Roman" w:hAnsi="Times New Roman" w:eastAsia="仿宋_GB2312" w:cs="Times New Roman"/>
          <w:kern w:val="2"/>
          <w:sz w:val="32"/>
          <w:szCs w:val="32"/>
          <w:highlight w:val="none"/>
          <w:lang w:val="en-US" w:eastAsia="zh-CN" w:bidi="ar-SA"/>
        </w:rPr>
        <w:t>普遍使用</w:t>
      </w:r>
      <w:r>
        <w:rPr>
          <w:rFonts w:hint="default" w:ascii="Times New Roman" w:hAnsi="Times New Roman" w:eastAsia="仿宋_GB2312" w:cs="Times New Roman"/>
          <w:kern w:val="2"/>
          <w:sz w:val="32"/>
          <w:szCs w:val="32"/>
          <w:highlight w:val="none"/>
          <w:lang w:val="en-US" w:eastAsia="zh-CN" w:bidi="ar-SA"/>
        </w:rPr>
        <w:t>的</w:t>
      </w:r>
      <w:r>
        <w:rPr>
          <w:rFonts w:hint="eastAsia" w:ascii="Times New Roman" w:hAnsi="Times New Roman" w:eastAsia="仿宋_GB2312" w:cs="Times New Roman"/>
          <w:kern w:val="2"/>
          <w:sz w:val="32"/>
          <w:szCs w:val="32"/>
          <w:highlight w:val="none"/>
          <w:lang w:val="en-US" w:eastAsia="zh-CN" w:bidi="ar-SA"/>
        </w:rPr>
        <w:t>人工甜味剂，其特点是不产生热量、不被人体代谢吸收，大部分经肾排出而不损害肾功能。但如果长期摄入糖精钠超标的食品，可能会影响肠胃消化酶的正常分泌，降低小肠的吸收能力，使食欲减退。</w:t>
      </w:r>
      <w:r>
        <w:rPr>
          <w:rFonts w:hint="default" w:ascii="Times New Roman" w:hAnsi="Times New Roman" w:eastAsia="仿宋_GB2312" w:cs="Times New Roman"/>
          <w:kern w:val="2"/>
          <w:sz w:val="32"/>
          <w:szCs w:val="32"/>
          <w:highlight w:val="none"/>
          <w:lang w:val="en-US" w:eastAsia="zh-CN" w:bidi="ar-SA"/>
        </w:rPr>
        <w:t>《食品安全国家标准 食品添加剂使用标准》（GB 2760</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2024）中规定，</w:t>
      </w:r>
      <w:r>
        <w:rPr>
          <w:rFonts w:hint="eastAsia" w:ascii="Times New Roman" w:hAnsi="Times New Roman" w:eastAsia="仿宋_GB2312" w:cs="Times New Roman"/>
          <w:kern w:val="2"/>
          <w:sz w:val="32"/>
          <w:szCs w:val="32"/>
          <w:highlight w:val="none"/>
          <w:lang w:val="en-US" w:eastAsia="zh-CN" w:bidi="ar-SA"/>
        </w:rPr>
        <w:t>腌渍的蔬菜中糖精钠</w:t>
      </w:r>
      <w:r>
        <w:rPr>
          <w:rFonts w:hint="default" w:ascii="Times New Roman" w:hAnsi="Times New Roman" w:eastAsia="仿宋_GB2312" w:cs="Times New Roman"/>
          <w:kern w:val="2"/>
          <w:sz w:val="32"/>
          <w:szCs w:val="32"/>
          <w:highlight w:val="none"/>
          <w:lang w:val="en-US" w:eastAsia="zh-CN" w:bidi="ar-SA"/>
        </w:rPr>
        <w:t>（以糖精计）</w:t>
      </w:r>
      <w:r>
        <w:rPr>
          <w:rFonts w:hint="eastAsia" w:ascii="Times New Roman" w:hAnsi="Times New Roman" w:eastAsia="仿宋_GB2312" w:cs="Times New Roman"/>
          <w:kern w:val="2"/>
          <w:sz w:val="32"/>
          <w:szCs w:val="32"/>
          <w:highlight w:val="none"/>
          <w:lang w:val="en-US" w:eastAsia="zh-CN" w:bidi="ar-SA"/>
        </w:rPr>
        <w:t>最大使用量为0.15g/kg。腌渍的蔬菜中糖精钠</w:t>
      </w:r>
      <w:r>
        <w:rPr>
          <w:rFonts w:hint="default" w:ascii="Times New Roman" w:hAnsi="Times New Roman" w:eastAsia="仿宋_GB2312" w:cs="Times New Roman"/>
          <w:kern w:val="2"/>
          <w:sz w:val="32"/>
          <w:szCs w:val="32"/>
          <w:highlight w:val="none"/>
          <w:lang w:val="en-US" w:eastAsia="zh-CN" w:bidi="ar-SA"/>
        </w:rPr>
        <w:t>（以糖精计）</w:t>
      </w:r>
      <w:r>
        <w:rPr>
          <w:rFonts w:hint="eastAsia" w:ascii="Times New Roman" w:hAnsi="Times New Roman" w:eastAsia="仿宋_GB2312" w:cs="Times New Roman"/>
          <w:kern w:val="2"/>
          <w:sz w:val="32"/>
          <w:szCs w:val="32"/>
          <w:highlight w:val="none"/>
          <w:lang w:val="en-US" w:eastAsia="zh-CN" w:bidi="ar-SA"/>
        </w:rPr>
        <w:t>检验值超标的原因，可能是</w:t>
      </w:r>
      <w:r>
        <w:rPr>
          <w:rFonts w:hint="default" w:ascii="Times New Roman" w:hAnsi="Times New Roman" w:eastAsia="仿宋_GB2312" w:cs="Times New Roman"/>
          <w:kern w:val="2"/>
          <w:sz w:val="32"/>
          <w:szCs w:val="32"/>
          <w:highlight w:val="none"/>
          <w:lang w:val="en-US" w:eastAsia="zh-CN" w:bidi="ar-SA"/>
        </w:rPr>
        <w:t>生产</w:t>
      </w:r>
      <w:r>
        <w:rPr>
          <w:rFonts w:hint="eastAsia" w:ascii="Times New Roman" w:hAnsi="Times New Roman" w:eastAsia="仿宋_GB2312" w:cs="Times New Roman"/>
          <w:kern w:val="2"/>
          <w:sz w:val="32"/>
          <w:szCs w:val="32"/>
          <w:highlight w:val="none"/>
          <w:lang w:val="en-US" w:eastAsia="zh-CN" w:bidi="ar-SA"/>
        </w:rPr>
        <w:t>经营企业为增加产品甜味超限量使用；</w:t>
      </w:r>
      <w:r>
        <w:rPr>
          <w:rFonts w:hint="eastAsia" w:ascii="Times New Roman" w:hAnsi="Times New Roman" w:eastAsia="仿宋_GB2312" w:cs="Times New Roman"/>
          <w:color w:val="auto"/>
          <w:sz w:val="32"/>
          <w:szCs w:val="32"/>
          <w:highlight w:val="none"/>
          <w:lang w:val="en-US" w:eastAsia="zh-CN"/>
        </w:rPr>
        <w:t>也</w:t>
      </w:r>
      <w:r>
        <w:rPr>
          <w:rFonts w:hint="default" w:ascii="Times New Roman" w:hAnsi="Times New Roman" w:eastAsia="仿宋_GB2312" w:cs="Times New Roman"/>
          <w:color w:val="auto"/>
          <w:sz w:val="32"/>
          <w:szCs w:val="32"/>
          <w:highlight w:val="none"/>
        </w:rPr>
        <w:t>可能是</w:t>
      </w:r>
      <w:r>
        <w:rPr>
          <w:rFonts w:hint="default" w:ascii="Times New Roman" w:hAnsi="Times New Roman" w:eastAsia="仿宋_GB2312" w:cs="Times New Roman"/>
          <w:color w:val="auto"/>
          <w:kern w:val="2"/>
          <w:sz w:val="32"/>
          <w:szCs w:val="32"/>
          <w:highlight w:val="none"/>
          <w:lang w:val="en-US" w:eastAsia="zh-CN" w:bidi="ar-SA"/>
        </w:rPr>
        <w:t>使用时</w:t>
      </w:r>
      <w:r>
        <w:rPr>
          <w:rFonts w:hint="default" w:ascii="Times New Roman" w:hAnsi="Times New Roman" w:eastAsia="仿宋_GB2312" w:cs="Times New Roman"/>
          <w:color w:val="auto"/>
          <w:sz w:val="32"/>
          <w:szCs w:val="32"/>
          <w:highlight w:val="none"/>
        </w:rPr>
        <w:t>未计量</w:t>
      </w:r>
      <w:r>
        <w:rPr>
          <w:rFonts w:hint="eastAsia" w:ascii="Times New Roman" w:hAnsi="Times New Roman" w:eastAsia="仿宋_GB2312" w:cs="Times New Roman"/>
          <w:color w:val="auto"/>
          <w:sz w:val="32"/>
          <w:szCs w:val="32"/>
          <w:highlight w:val="none"/>
          <w:lang w:val="en-US" w:eastAsia="zh-CN"/>
        </w:rPr>
        <w:t>或</w:t>
      </w:r>
      <w:r>
        <w:rPr>
          <w:rFonts w:hint="default" w:ascii="Times New Roman" w:hAnsi="Times New Roman" w:eastAsia="仿宋_GB2312" w:cs="Times New Roman"/>
          <w:color w:val="auto"/>
          <w:sz w:val="32"/>
          <w:szCs w:val="32"/>
          <w:highlight w:val="none"/>
        </w:rPr>
        <w:t>计量不准确</w:t>
      </w:r>
      <w:r>
        <w:rPr>
          <w:rFonts w:hint="eastAsia" w:ascii="Times New Roman" w:hAnsi="Times New Roman" w:eastAsia="仿宋_GB2312" w:cs="Times New Roman"/>
          <w:color w:val="auto"/>
          <w:sz w:val="32"/>
          <w:szCs w:val="32"/>
          <w:highlight w:val="none"/>
          <w:lang w:eastAsia="zh-CN"/>
        </w:rPr>
        <w:t>。</w:t>
      </w:r>
    </w:p>
    <w:p>
      <w:pPr>
        <w:spacing w:line="594" w:lineRule="exact"/>
        <w:ind w:firstLine="640" w:firstLineChars="200"/>
        <w:rPr>
          <w:rFonts w:hint="eastAsia" w:ascii="Times New Roman" w:hAnsi="Times New Roman" w:eastAsia="黑体" w:cs="Times New Roman"/>
          <w:spacing w:val="0"/>
          <w:sz w:val="32"/>
          <w:szCs w:val="32"/>
          <w:highlight w:val="none"/>
          <w:lang w:val="en-US" w:eastAsia="zh-CN"/>
        </w:rPr>
      </w:pPr>
      <w:r>
        <w:rPr>
          <w:rFonts w:hint="default" w:ascii="Times New Roman" w:hAnsi="Times New Roman" w:eastAsia="黑体" w:cs="Times New Roman"/>
          <w:sz w:val="32"/>
          <w:szCs w:val="32"/>
          <w:lang w:val="en-US" w:eastAsia="zh-CN"/>
        </w:rPr>
        <w:t>九、</w:t>
      </w:r>
      <w:r>
        <w:rPr>
          <w:rFonts w:hint="eastAsia" w:ascii="Times New Roman" w:hAnsi="Times New Roman" w:eastAsia="黑体" w:cs="Times New Roman"/>
          <w:spacing w:val="0"/>
          <w:sz w:val="32"/>
          <w:szCs w:val="32"/>
          <w:highlight w:val="none"/>
          <w:lang w:val="en-US" w:eastAsia="zh-CN"/>
        </w:rPr>
        <w:t>日落黄</w:t>
      </w:r>
    </w:p>
    <w:p>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rPr>
        <w:t>日落黄属于</w:t>
      </w:r>
      <w:r>
        <w:rPr>
          <w:rFonts w:hint="default" w:ascii="Times New Roman" w:hAnsi="Times New Roman" w:eastAsia="仿宋_GB2312" w:cs="Times New Roman"/>
          <w:color w:val="000000"/>
          <w:sz w:val="32"/>
          <w:szCs w:val="32"/>
          <w:highlight w:val="none"/>
          <w:lang w:eastAsia="zh-CN"/>
        </w:rPr>
        <w:t>水溶性</w:t>
      </w:r>
      <w:r>
        <w:rPr>
          <w:rFonts w:hint="default" w:ascii="Times New Roman" w:hAnsi="Times New Roman" w:eastAsia="仿宋_GB2312" w:cs="Times New Roman"/>
          <w:color w:val="000000"/>
          <w:sz w:val="32"/>
          <w:szCs w:val="32"/>
          <w:highlight w:val="none"/>
        </w:rPr>
        <w:t>偶氮类</w:t>
      </w:r>
      <w:r>
        <w:rPr>
          <w:rFonts w:hint="default" w:ascii="Times New Roman" w:hAnsi="Times New Roman" w:eastAsia="仿宋_GB2312" w:cs="Times New Roman"/>
          <w:color w:val="000000"/>
          <w:sz w:val="32"/>
          <w:szCs w:val="32"/>
          <w:highlight w:val="none"/>
          <w:lang w:eastAsia="zh-CN"/>
        </w:rPr>
        <w:t>化合物</w:t>
      </w:r>
      <w:r>
        <w:rPr>
          <w:rFonts w:hint="default" w:ascii="Times New Roman" w:hAnsi="Times New Roman" w:eastAsia="仿宋_GB2312" w:cs="Times New Roman"/>
          <w:color w:val="000000"/>
          <w:sz w:val="32"/>
          <w:szCs w:val="32"/>
          <w:highlight w:val="none"/>
        </w:rPr>
        <w:t>，是常见的人工合成着色剂，在食品</w:t>
      </w:r>
      <w:r>
        <w:rPr>
          <w:rFonts w:hint="default" w:ascii="Times New Roman" w:hAnsi="Times New Roman" w:eastAsia="仿宋_GB2312" w:cs="Times New Roman"/>
          <w:color w:val="000000"/>
          <w:sz w:val="32"/>
          <w:szCs w:val="32"/>
          <w:highlight w:val="none"/>
          <w:lang w:eastAsia="zh-CN"/>
        </w:rPr>
        <w:t>生产</w:t>
      </w:r>
      <w:r>
        <w:rPr>
          <w:rFonts w:hint="default" w:ascii="Times New Roman" w:hAnsi="Times New Roman" w:eastAsia="仿宋_GB2312" w:cs="Times New Roman"/>
          <w:color w:val="000000"/>
          <w:sz w:val="32"/>
          <w:szCs w:val="32"/>
          <w:highlight w:val="none"/>
        </w:rPr>
        <w:t>中应用广泛</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按标准使用不会对健康造成危害</w:t>
      </w:r>
      <w:r>
        <w:rPr>
          <w:rFonts w:hint="default" w:ascii="Times New Roman" w:hAnsi="Times New Roman" w:eastAsia="仿宋_GB2312" w:cs="Times New Roman"/>
          <w:color w:val="000000"/>
          <w:sz w:val="32"/>
          <w:szCs w:val="32"/>
          <w:highlight w:val="none"/>
        </w:rPr>
        <w:t>。长期摄入</w:t>
      </w:r>
      <w:r>
        <w:rPr>
          <w:rFonts w:hint="default" w:ascii="Times New Roman" w:hAnsi="Times New Roman" w:eastAsia="仿宋_GB2312" w:cs="Times New Roman"/>
          <w:color w:val="000000"/>
          <w:sz w:val="32"/>
          <w:szCs w:val="32"/>
          <w:highlight w:val="none"/>
          <w:lang w:val="en-US" w:eastAsia="zh-CN"/>
        </w:rPr>
        <w:t>日落黄</w:t>
      </w:r>
      <w:r>
        <w:rPr>
          <w:rFonts w:hint="default" w:ascii="Times New Roman" w:hAnsi="Times New Roman" w:eastAsia="仿宋_GB2312" w:cs="Times New Roman"/>
          <w:color w:val="000000"/>
          <w:sz w:val="32"/>
          <w:szCs w:val="32"/>
          <w:highlight w:val="none"/>
          <w:lang w:eastAsia="zh-CN"/>
        </w:rPr>
        <w:t>超标的食品</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eastAsia="zh-CN"/>
        </w:rPr>
        <w:t>可能危害人体健康</w:t>
      </w:r>
      <w:r>
        <w:rPr>
          <w:rFonts w:hint="default" w:ascii="Times New Roman" w:hAnsi="Times New Roman" w:eastAsia="仿宋_GB2312" w:cs="Times New Roman"/>
          <w:color w:val="000000"/>
          <w:sz w:val="32"/>
          <w:szCs w:val="32"/>
          <w:highlight w:val="none"/>
        </w:rPr>
        <w:t>。《食品安全国家标准 食品添加剂使用标准》（GB 2760</w:t>
      </w:r>
      <w:r>
        <w:rPr>
          <w:rFonts w:hint="eastAsia" w:ascii="仿宋_GB2312" w:hAnsi="仿宋_GB2312" w:eastAsia="仿宋_GB2312" w:cs="仿宋_GB2312"/>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w:t>
      </w: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4）中规定，</w:t>
      </w:r>
      <w:r>
        <w:rPr>
          <w:rFonts w:hint="default" w:ascii="Times New Roman" w:hAnsi="Times New Roman" w:eastAsia="仿宋_GB2312" w:cs="Times New Roman"/>
          <w:color w:val="000000"/>
          <w:sz w:val="32"/>
          <w:szCs w:val="32"/>
          <w:highlight w:val="none"/>
          <w:lang w:eastAsia="zh-CN"/>
        </w:rPr>
        <w:t>液体</w:t>
      </w:r>
      <w:r>
        <w:rPr>
          <w:rFonts w:hint="default" w:ascii="Times New Roman" w:hAnsi="Times New Roman" w:eastAsia="仿宋_GB2312" w:cs="Times New Roman"/>
          <w:kern w:val="2"/>
          <w:sz w:val="32"/>
          <w:szCs w:val="32"/>
          <w:highlight w:val="none"/>
          <w:lang w:val="en-US" w:eastAsia="zh-CN" w:bidi="ar-SA"/>
        </w:rPr>
        <w:t>复合调味料中日落黄最大使用量为0.2g/kg</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sz w:val="32"/>
          <w:szCs w:val="32"/>
          <w:highlight w:val="none"/>
          <w:lang w:eastAsia="zh-CN"/>
        </w:rPr>
        <w:t>液体</w:t>
      </w:r>
      <w:r>
        <w:rPr>
          <w:rFonts w:hint="default" w:ascii="Times New Roman" w:hAnsi="Times New Roman" w:eastAsia="仿宋_GB2312" w:cs="Times New Roman"/>
          <w:kern w:val="2"/>
          <w:sz w:val="32"/>
          <w:szCs w:val="32"/>
          <w:highlight w:val="none"/>
          <w:lang w:val="en-US" w:eastAsia="zh-CN" w:bidi="ar-SA"/>
        </w:rPr>
        <w:t>复合调味料</w:t>
      </w:r>
      <w:r>
        <w:rPr>
          <w:rFonts w:hint="default" w:ascii="Times New Roman" w:hAnsi="Times New Roman" w:eastAsia="仿宋_GB2312" w:cs="Times New Roman"/>
          <w:spacing w:val="0"/>
          <w:sz w:val="32"/>
          <w:szCs w:val="32"/>
          <w:lang w:val="en-US" w:eastAsia="zh-CN"/>
        </w:rPr>
        <w:t>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日落黄</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检验值</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超标</w:t>
      </w:r>
      <w:r>
        <w:rPr>
          <w:rFonts w:hint="default" w:ascii="Times New Roman" w:hAnsi="Times New Roman" w:eastAsia="仿宋_GB2312" w:cs="Times New Roman"/>
          <w:spacing w:val="0"/>
          <w:sz w:val="32"/>
          <w:szCs w:val="32"/>
        </w:rPr>
        <w:t>的原因</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color w:val="000000"/>
          <w:spacing w:val="0"/>
          <w:sz w:val="32"/>
          <w:szCs w:val="32"/>
        </w:rPr>
        <w:t>可能是</w:t>
      </w:r>
      <w:r>
        <w:rPr>
          <w:rFonts w:hint="default" w:ascii="Times New Roman" w:hAnsi="Times New Roman" w:eastAsia="仿宋_GB2312" w:cs="Times New Roman"/>
          <w:color w:val="000000"/>
          <w:spacing w:val="0"/>
          <w:sz w:val="32"/>
          <w:szCs w:val="32"/>
          <w:lang w:val="en-US" w:eastAsia="zh-CN"/>
        </w:rPr>
        <w:t>经营者或</w:t>
      </w:r>
      <w:r>
        <w:rPr>
          <w:rFonts w:hint="default" w:ascii="Times New Roman" w:hAnsi="Times New Roman" w:eastAsia="仿宋_GB2312" w:cs="Times New Roman"/>
          <w:color w:val="000000"/>
          <w:spacing w:val="0"/>
          <w:sz w:val="32"/>
          <w:szCs w:val="32"/>
        </w:rPr>
        <w:t>生产企业为改善产品色泽而超</w:t>
      </w:r>
      <w:r>
        <w:rPr>
          <w:rFonts w:hint="default" w:ascii="Times New Roman" w:hAnsi="Times New Roman" w:eastAsia="仿宋_GB2312" w:cs="Times New Roman"/>
          <w:color w:val="000000"/>
          <w:spacing w:val="0"/>
          <w:sz w:val="32"/>
          <w:szCs w:val="32"/>
          <w:lang w:val="en-US" w:eastAsia="zh-CN"/>
        </w:rPr>
        <w:t>限量</w:t>
      </w:r>
      <w:r>
        <w:rPr>
          <w:rFonts w:hint="default" w:ascii="Times New Roman" w:hAnsi="Times New Roman" w:eastAsia="仿宋_GB2312" w:cs="Times New Roman"/>
          <w:color w:val="000000"/>
          <w:spacing w:val="0"/>
          <w:sz w:val="32"/>
          <w:szCs w:val="32"/>
        </w:rPr>
        <w:t>使用。</w:t>
      </w:r>
    </w:p>
    <w:p>
      <w:pPr>
        <w:spacing w:line="594" w:lineRule="exact"/>
        <w:ind w:firstLine="640" w:firstLineChars="200"/>
        <w:rPr>
          <w:rFonts w:hint="eastAsia" w:ascii="Times New Roman" w:hAnsi="Times New Roman" w:eastAsia="黑体" w:cs="Times New Roman"/>
          <w:spacing w:val="0"/>
          <w:sz w:val="32"/>
          <w:szCs w:val="32"/>
          <w:highlight w:val="none"/>
          <w:lang w:val="en-US" w:eastAsia="zh-CN"/>
        </w:rPr>
      </w:pPr>
      <w:r>
        <w:rPr>
          <w:rFonts w:hint="eastAsia" w:ascii="Times New Roman" w:hAnsi="Times New Roman" w:eastAsia="黑体" w:cs="Times New Roman"/>
          <w:color w:val="auto"/>
          <w:spacing w:val="0"/>
          <w:sz w:val="32"/>
          <w:szCs w:val="32"/>
          <w:lang w:val="en-US" w:eastAsia="zh-CN"/>
        </w:rPr>
        <w:t>十、</w:t>
      </w:r>
      <w:r>
        <w:rPr>
          <w:rFonts w:hint="eastAsia" w:ascii="Times New Roman" w:hAnsi="Times New Roman" w:eastAsia="黑体" w:cs="Times New Roman"/>
          <w:spacing w:val="0"/>
          <w:sz w:val="32"/>
          <w:szCs w:val="32"/>
          <w:highlight w:val="none"/>
          <w:lang w:val="en-US" w:eastAsia="zh-CN"/>
        </w:rPr>
        <w:t>相同色泽着色剂混合使用时各自用量占其最大使用量的比例之和</w:t>
      </w:r>
    </w:p>
    <w:p>
      <w:pPr>
        <w:pStyle w:val="13"/>
        <w:spacing w:line="594" w:lineRule="exact"/>
        <w:ind w:firstLine="640" w:firstLineChars="200"/>
        <w:jc w:val="both"/>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bCs/>
          <w:kern w:val="2"/>
          <w:sz w:val="32"/>
          <w:szCs w:val="32"/>
          <w:lang w:val="en-US" w:eastAsia="zh-CN" w:bidi="ar-SA"/>
        </w:rPr>
        <w:t>着色剂也称食品色素，是赋予和改善食品色泽的物质。</w:t>
      </w:r>
      <w:r>
        <w:rPr>
          <w:rFonts w:hint="default" w:ascii="Times New Roman" w:hAnsi="Times New Roman" w:eastAsia="仿宋_GB2312" w:cs="Times New Roman"/>
          <w:bCs/>
          <w:sz w:val="32"/>
          <w:szCs w:val="32"/>
        </w:rPr>
        <w:t>长期食用</w:t>
      </w:r>
      <w:r>
        <w:rPr>
          <w:rFonts w:hint="default" w:ascii="Times New Roman" w:hAnsi="Times New Roman" w:eastAsia="仿宋_GB2312" w:cs="Times New Roman"/>
          <w:bCs/>
          <w:sz w:val="32"/>
          <w:szCs w:val="32"/>
          <w:lang w:eastAsia="zh-CN"/>
        </w:rPr>
        <w:t>着色剂</w:t>
      </w:r>
      <w:r>
        <w:rPr>
          <w:rFonts w:hint="default" w:ascii="Times New Roman" w:hAnsi="Times New Roman" w:eastAsia="仿宋_GB2312" w:cs="Times New Roman"/>
          <w:bCs/>
          <w:sz w:val="32"/>
          <w:szCs w:val="32"/>
        </w:rPr>
        <w:t>超标的食品，可能危害人体健康。</w:t>
      </w:r>
      <w:r>
        <w:rPr>
          <w:rFonts w:hint="default" w:ascii="Times New Roman" w:hAnsi="Times New Roman" w:eastAsia="仿宋_GB2312" w:cs="Times New Roman"/>
          <w:color w:val="000000"/>
          <w:kern w:val="0"/>
          <w:sz w:val="32"/>
          <w:szCs w:val="32"/>
          <w:highlight w:val="none"/>
        </w:rPr>
        <w:t>《食品安全国家标准 食品添加剂使用标准》（GB 2760</w:t>
      </w:r>
      <w:r>
        <w:rPr>
          <w:rFonts w:hint="eastAsia" w:ascii="仿宋_GB2312" w:hAnsi="仿宋_GB2312" w:eastAsia="仿宋_GB2312" w:cs="仿宋_GB2312"/>
          <w:color w:val="000000"/>
          <w:kern w:val="0"/>
          <w:sz w:val="32"/>
          <w:szCs w:val="32"/>
          <w:highlight w:val="none"/>
        </w:rPr>
        <w:t>—</w:t>
      </w:r>
      <w:r>
        <w:rPr>
          <w:rFonts w:hint="default" w:ascii="Times New Roman" w:hAnsi="Times New Roman" w:eastAsia="仿宋_GB2312" w:cs="Times New Roman"/>
          <w:color w:val="000000"/>
          <w:kern w:val="0"/>
          <w:sz w:val="32"/>
          <w:szCs w:val="32"/>
          <w:highlight w:val="none"/>
        </w:rPr>
        <w:t>20</w:t>
      </w:r>
      <w:r>
        <w:rPr>
          <w:rFonts w:hint="default" w:ascii="Times New Roman" w:hAnsi="Times New Roman" w:eastAsia="仿宋_GB2312" w:cs="Times New Roman"/>
          <w:color w:val="000000"/>
          <w:kern w:val="0"/>
          <w:sz w:val="32"/>
          <w:szCs w:val="32"/>
          <w:highlight w:val="none"/>
          <w:lang w:val="en-US" w:eastAsia="zh-CN"/>
        </w:rPr>
        <w:t>2</w:t>
      </w:r>
      <w:r>
        <w:rPr>
          <w:rFonts w:hint="default" w:ascii="Times New Roman" w:hAnsi="Times New Roman" w:eastAsia="仿宋_GB2312" w:cs="Times New Roman"/>
          <w:color w:val="000000"/>
          <w:kern w:val="0"/>
          <w:sz w:val="32"/>
          <w:szCs w:val="32"/>
          <w:highlight w:val="none"/>
        </w:rPr>
        <w:t>4）中规定，相同色泽着色剂各自用量占其最大使用量的比例之和不应超过1。</w:t>
      </w:r>
      <w:r>
        <w:rPr>
          <w:rFonts w:hint="default" w:ascii="Times New Roman" w:hAnsi="Times New Roman" w:eastAsia="仿宋_GB2312" w:cs="Times New Roman"/>
          <w:color w:val="000000"/>
          <w:sz w:val="32"/>
          <w:szCs w:val="32"/>
          <w:highlight w:val="none"/>
          <w:lang w:eastAsia="zh-CN"/>
        </w:rPr>
        <w:t>液体</w:t>
      </w:r>
      <w:r>
        <w:rPr>
          <w:rFonts w:hint="default" w:ascii="Times New Roman" w:hAnsi="Times New Roman" w:eastAsia="仿宋_GB2312" w:cs="Times New Roman"/>
          <w:kern w:val="2"/>
          <w:sz w:val="32"/>
          <w:szCs w:val="32"/>
          <w:highlight w:val="none"/>
          <w:lang w:val="en-US" w:eastAsia="zh-CN" w:bidi="ar-SA"/>
        </w:rPr>
        <w:t>复合调味料</w:t>
      </w:r>
      <w:r>
        <w:rPr>
          <w:rFonts w:hint="default" w:ascii="Times New Roman" w:hAnsi="Times New Roman" w:eastAsia="仿宋_GB2312" w:cs="Times New Roman"/>
          <w:kern w:val="2"/>
          <w:sz w:val="32"/>
          <w:szCs w:val="32"/>
          <w:lang w:val="en-US" w:eastAsia="zh-CN" w:bidi="ar-SA"/>
        </w:rPr>
        <w:t>中相同色泽着色剂混合使用时各自用量占其最大使用量的比例之和超标的原因，可能是生产企业</w:t>
      </w:r>
      <w:r>
        <w:rPr>
          <w:rFonts w:hint="default" w:ascii="Times New Roman" w:hAnsi="Times New Roman" w:eastAsia="仿宋_GB2312" w:cs="Times New Roman"/>
          <w:color w:val="000000"/>
          <w:kern w:val="0"/>
          <w:sz w:val="32"/>
          <w:szCs w:val="32"/>
          <w:highlight w:val="none"/>
        </w:rPr>
        <w:t>在加工配料环节未能严格控制</w:t>
      </w:r>
      <w:r>
        <w:rPr>
          <w:rFonts w:hint="default" w:ascii="Times New Roman" w:hAnsi="Times New Roman" w:eastAsia="仿宋_GB2312" w:cs="Times New Roman"/>
          <w:color w:val="000000"/>
          <w:kern w:val="0"/>
          <w:sz w:val="32"/>
          <w:szCs w:val="32"/>
          <w:highlight w:val="none"/>
          <w:lang w:val="en-US" w:eastAsia="zh-CN"/>
        </w:rPr>
        <w:t>着色剂</w:t>
      </w:r>
      <w:r>
        <w:rPr>
          <w:rFonts w:hint="default" w:ascii="Times New Roman" w:hAnsi="Times New Roman" w:eastAsia="仿宋_GB2312" w:cs="Times New Roman"/>
          <w:color w:val="000000"/>
          <w:kern w:val="0"/>
          <w:sz w:val="32"/>
          <w:szCs w:val="32"/>
          <w:highlight w:val="none"/>
        </w:rPr>
        <w:t>的添加量</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kern w:val="2"/>
          <w:sz w:val="32"/>
          <w:szCs w:val="32"/>
          <w:lang w:val="en-US" w:eastAsia="zh-CN" w:bidi="ar-SA"/>
        </w:rPr>
        <w:t>也可能是生产企业对</w:t>
      </w:r>
      <w:r>
        <w:rPr>
          <w:rFonts w:hint="default" w:ascii="Times New Roman" w:hAnsi="Times New Roman" w:eastAsia="仿宋_GB2312" w:cs="Times New Roman"/>
          <w:color w:val="000000"/>
          <w:kern w:val="0"/>
          <w:sz w:val="32"/>
          <w:szCs w:val="32"/>
          <w:highlight w:val="none"/>
          <w:lang w:val="en-US" w:eastAsia="zh-CN"/>
        </w:rPr>
        <w:t>着色剂</w:t>
      </w:r>
      <w:r>
        <w:rPr>
          <w:rFonts w:hint="default" w:ascii="Times New Roman" w:hAnsi="Times New Roman" w:eastAsia="仿宋_GB2312" w:cs="Times New Roman"/>
          <w:kern w:val="2"/>
          <w:sz w:val="32"/>
          <w:szCs w:val="32"/>
          <w:lang w:val="en-US" w:eastAsia="zh-CN" w:bidi="ar-SA"/>
        </w:rPr>
        <w:t>的使用标准不了解。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000000"/>
          <w:sz w:val="32"/>
          <w:szCs w:val="32"/>
          <w:highlight w:val="none"/>
          <w:lang w:val="en-US" w:eastAsia="zh-CN"/>
        </w:rPr>
        <w:t>十一、</w:t>
      </w:r>
      <w:r>
        <w:rPr>
          <w:rFonts w:hint="eastAsia" w:ascii="Times New Roman" w:hAnsi="Times New Roman" w:eastAsia="黑体" w:cs="Times New Roman"/>
          <w:color w:val="auto"/>
          <w:sz w:val="32"/>
          <w:szCs w:val="32"/>
          <w:highlight w:val="none"/>
          <w:lang w:val="en-US" w:eastAsia="zh-CN"/>
        </w:rPr>
        <w:t>三氯蔗糖</w:t>
      </w:r>
    </w:p>
    <w:p>
      <w:pPr>
        <w:pStyle w:val="9"/>
        <w:spacing w:after="0"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kern w:val="2"/>
          <w:sz w:val="32"/>
          <w:szCs w:val="32"/>
          <w:highlight w:val="none"/>
          <w:lang w:val="en-US" w:eastAsia="zh-CN" w:bidi="ar-SA"/>
        </w:rPr>
        <w:t>三氯蔗糖</w:t>
      </w:r>
      <w:r>
        <w:rPr>
          <w:rFonts w:hint="eastAsia" w:ascii="Times New Roman" w:hAnsi="Times New Roman" w:eastAsia="仿宋_GB2312" w:cs="Times New Roman"/>
          <w:kern w:val="2"/>
          <w:sz w:val="32"/>
          <w:szCs w:val="32"/>
          <w:highlight w:val="none"/>
          <w:lang w:val="en-US" w:eastAsia="zh-CN" w:bidi="ar-SA"/>
        </w:rPr>
        <w:t>是最接近蔗糖的一种甜味剂，甜味特性曲线几乎与蔗糖重叠，热量低，不容易产生龋齿，安全性高。</w:t>
      </w:r>
      <w:r>
        <w:rPr>
          <w:rFonts w:hint="default" w:ascii="Times New Roman" w:hAnsi="Times New Roman" w:eastAsia="仿宋_GB2312" w:cs="Times New Roman"/>
          <w:kern w:val="2"/>
          <w:sz w:val="32"/>
          <w:szCs w:val="32"/>
          <w:highlight w:val="none"/>
          <w:lang w:val="en-US" w:eastAsia="zh-CN" w:bidi="ar-SA"/>
        </w:rPr>
        <w:t>《食品安全国家标准 食品添加剂使用标准》（GB 2760</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20</w:t>
      </w:r>
      <w:r>
        <w:rPr>
          <w:rFonts w:hint="eastAsia" w:ascii="Times New Roman" w:hAnsi="Times New Roman"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4）中规定，</w:t>
      </w:r>
      <w:r>
        <w:rPr>
          <w:rFonts w:hint="eastAsia" w:ascii="Times New Roman" w:hAnsi="Times New Roman" w:eastAsia="仿宋_GB2312" w:cs="Times New Roman"/>
          <w:kern w:val="2"/>
          <w:sz w:val="32"/>
          <w:szCs w:val="32"/>
          <w:highlight w:val="none"/>
          <w:lang w:val="en-US" w:eastAsia="zh-CN" w:bidi="ar-SA"/>
        </w:rPr>
        <w:t>腌渍的蔬菜中三氯蔗糖的最大使用量为0.25g/kg。腌渍的蔬菜中三氯蔗糖检验值超标的原因，可能是</w:t>
      </w:r>
      <w:r>
        <w:rPr>
          <w:rFonts w:hint="default" w:ascii="Times New Roman" w:hAnsi="Times New Roman" w:eastAsia="仿宋_GB2312" w:cs="Times New Roman"/>
          <w:kern w:val="2"/>
          <w:sz w:val="32"/>
          <w:szCs w:val="32"/>
          <w:highlight w:val="none"/>
          <w:lang w:val="en-US" w:eastAsia="zh-CN" w:bidi="ar-SA"/>
        </w:rPr>
        <w:t>生产</w:t>
      </w:r>
      <w:r>
        <w:rPr>
          <w:rFonts w:hint="eastAsia" w:ascii="Times New Roman" w:hAnsi="Times New Roman" w:eastAsia="仿宋_GB2312" w:cs="Times New Roman"/>
          <w:kern w:val="2"/>
          <w:sz w:val="32"/>
          <w:szCs w:val="32"/>
          <w:highlight w:val="none"/>
          <w:lang w:val="en-US" w:eastAsia="zh-CN" w:bidi="ar-SA"/>
        </w:rPr>
        <w:t>经营企业为增加产品甜味超限量使用；</w:t>
      </w:r>
      <w:r>
        <w:rPr>
          <w:rFonts w:hint="eastAsia" w:ascii="Times New Roman" w:hAnsi="Times New Roman" w:eastAsia="仿宋_GB2312" w:cs="Times New Roman"/>
          <w:color w:val="auto"/>
          <w:sz w:val="32"/>
          <w:szCs w:val="32"/>
          <w:highlight w:val="none"/>
          <w:lang w:val="en-US" w:eastAsia="zh-CN"/>
        </w:rPr>
        <w:t>也</w:t>
      </w:r>
      <w:r>
        <w:rPr>
          <w:rFonts w:hint="default" w:ascii="Times New Roman" w:hAnsi="Times New Roman" w:eastAsia="仿宋_GB2312" w:cs="Times New Roman"/>
          <w:color w:val="auto"/>
          <w:sz w:val="32"/>
          <w:szCs w:val="32"/>
          <w:highlight w:val="none"/>
        </w:rPr>
        <w:t>可能是</w:t>
      </w:r>
      <w:r>
        <w:rPr>
          <w:rFonts w:hint="default" w:ascii="Times New Roman" w:hAnsi="Times New Roman" w:eastAsia="仿宋_GB2312" w:cs="Times New Roman"/>
          <w:color w:val="auto"/>
          <w:kern w:val="2"/>
          <w:sz w:val="32"/>
          <w:szCs w:val="32"/>
          <w:highlight w:val="none"/>
          <w:lang w:val="en-US" w:eastAsia="zh-CN" w:bidi="ar-SA"/>
        </w:rPr>
        <w:t>使用时</w:t>
      </w:r>
      <w:r>
        <w:rPr>
          <w:rFonts w:hint="default" w:ascii="Times New Roman" w:hAnsi="Times New Roman" w:eastAsia="仿宋_GB2312" w:cs="Times New Roman"/>
          <w:color w:val="auto"/>
          <w:sz w:val="32"/>
          <w:szCs w:val="32"/>
          <w:highlight w:val="none"/>
        </w:rPr>
        <w:t>未计量</w:t>
      </w:r>
      <w:r>
        <w:rPr>
          <w:rFonts w:hint="eastAsia" w:ascii="Times New Roman" w:hAnsi="Times New Roman" w:eastAsia="仿宋_GB2312" w:cs="Times New Roman"/>
          <w:color w:val="auto"/>
          <w:sz w:val="32"/>
          <w:szCs w:val="32"/>
          <w:highlight w:val="none"/>
          <w:lang w:val="en-US" w:eastAsia="zh-CN"/>
        </w:rPr>
        <w:t>或</w:t>
      </w:r>
      <w:r>
        <w:rPr>
          <w:rFonts w:hint="default" w:ascii="Times New Roman" w:hAnsi="Times New Roman" w:eastAsia="仿宋_GB2312" w:cs="Times New Roman"/>
          <w:color w:val="auto"/>
          <w:sz w:val="32"/>
          <w:szCs w:val="32"/>
          <w:highlight w:val="none"/>
        </w:rPr>
        <w:t>计量不准确</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z w:val="32"/>
          <w:szCs w:val="32"/>
          <w:highlight w:val="none"/>
          <w:lang w:val="en-US" w:eastAsia="zh-CN"/>
        </w:rPr>
        <w:t>十二、安赛蜜</w:t>
      </w:r>
    </w:p>
    <w:p>
      <w:pPr>
        <w:widowControl/>
        <w:numPr>
          <w:ilvl w:val="0"/>
          <w:numId w:val="0"/>
        </w:numPr>
        <w:adjustRightInd/>
        <w:spacing w:line="594"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highlight w:val="none"/>
          <w:lang w:val="en-US" w:eastAsia="zh-CN" w:bidi="ar-SA"/>
        </w:rPr>
        <w:t>安赛蜜又称乙酰磺胺酸钾，作为甜味剂广泛应用于食品中，口味酷似蔗糖，甜度为蔗糖的200—250倍。安赛蜜不在人体内代谢和提供能量，按相关标准添加到食品中不会引起人体危害。《食品安全国家标准 食品添加剂使用标准》（GB 2760—2024）</w:t>
      </w:r>
      <w:r>
        <w:rPr>
          <w:rFonts w:hint="default" w:ascii="Times New Roman" w:hAnsi="Times New Roman" w:eastAsia="仿宋_GB2312" w:cs="Times New Roman"/>
          <w:kern w:val="2"/>
          <w:sz w:val="32"/>
          <w:szCs w:val="32"/>
          <w:highlight w:val="none"/>
          <w:lang w:val="en-US" w:eastAsia="zh-CN" w:bidi="ar-SA"/>
        </w:rPr>
        <w:t>中规定</w:t>
      </w:r>
      <w:r>
        <w:rPr>
          <w:rFonts w:hint="eastAsia" w:ascii="Times New Roman" w:hAnsi="Times New Roman" w:eastAsia="仿宋_GB2312" w:cs="Times New Roman"/>
          <w:kern w:val="2"/>
          <w:sz w:val="32"/>
          <w:szCs w:val="32"/>
          <w:highlight w:val="none"/>
          <w:lang w:val="en-US" w:eastAsia="zh-CN" w:bidi="ar-SA"/>
        </w:rPr>
        <w:t>，腌渍的蔬菜中安赛蜜的最大使用量为0.3g/kg。腌渍的蔬菜中安赛蜜检验值超标的原因，可能是</w:t>
      </w:r>
      <w:r>
        <w:rPr>
          <w:rFonts w:hint="default" w:ascii="Times New Roman" w:hAnsi="Times New Roman" w:eastAsia="仿宋_GB2312" w:cs="Times New Roman"/>
          <w:kern w:val="2"/>
          <w:sz w:val="32"/>
          <w:szCs w:val="32"/>
          <w:highlight w:val="none"/>
          <w:lang w:val="en-US" w:eastAsia="zh-CN" w:bidi="ar-SA"/>
        </w:rPr>
        <w:t>生产</w:t>
      </w:r>
      <w:r>
        <w:rPr>
          <w:rFonts w:hint="eastAsia" w:ascii="Times New Roman" w:hAnsi="Times New Roman" w:eastAsia="仿宋_GB2312" w:cs="Times New Roman"/>
          <w:kern w:val="2"/>
          <w:sz w:val="32"/>
          <w:szCs w:val="32"/>
          <w:highlight w:val="none"/>
          <w:lang w:val="en-US" w:eastAsia="zh-CN" w:bidi="ar-SA"/>
        </w:rPr>
        <w:t>经营企业为增加产品甜味超限量使用；</w:t>
      </w:r>
      <w:r>
        <w:rPr>
          <w:rFonts w:hint="eastAsia" w:ascii="Times New Roman" w:hAnsi="Times New Roman" w:eastAsia="仿宋_GB2312" w:cs="Times New Roman"/>
          <w:color w:val="auto"/>
          <w:sz w:val="32"/>
          <w:szCs w:val="32"/>
          <w:highlight w:val="none"/>
          <w:lang w:val="en-US" w:eastAsia="zh-CN"/>
        </w:rPr>
        <w:t>也</w:t>
      </w:r>
      <w:r>
        <w:rPr>
          <w:rFonts w:hint="default" w:ascii="Times New Roman" w:hAnsi="Times New Roman" w:eastAsia="仿宋_GB2312" w:cs="Times New Roman"/>
          <w:color w:val="auto"/>
          <w:sz w:val="32"/>
          <w:szCs w:val="32"/>
          <w:highlight w:val="none"/>
        </w:rPr>
        <w:t>可能是</w:t>
      </w:r>
      <w:r>
        <w:rPr>
          <w:rFonts w:hint="default" w:ascii="Times New Roman" w:hAnsi="Times New Roman" w:eastAsia="仿宋_GB2312" w:cs="Times New Roman"/>
          <w:color w:val="auto"/>
          <w:kern w:val="2"/>
          <w:sz w:val="32"/>
          <w:szCs w:val="32"/>
          <w:highlight w:val="none"/>
          <w:lang w:val="en-US" w:eastAsia="zh-CN" w:bidi="ar-SA"/>
        </w:rPr>
        <w:t>使用时</w:t>
      </w:r>
      <w:r>
        <w:rPr>
          <w:rFonts w:hint="default" w:ascii="Times New Roman" w:hAnsi="Times New Roman" w:eastAsia="仿宋_GB2312" w:cs="Times New Roman"/>
          <w:color w:val="auto"/>
          <w:sz w:val="32"/>
          <w:szCs w:val="32"/>
          <w:highlight w:val="none"/>
        </w:rPr>
        <w:t>未计量</w:t>
      </w:r>
      <w:r>
        <w:rPr>
          <w:rFonts w:hint="eastAsia" w:ascii="Times New Roman" w:hAnsi="Times New Roman" w:eastAsia="仿宋_GB2312" w:cs="Times New Roman"/>
          <w:color w:val="auto"/>
          <w:sz w:val="32"/>
          <w:szCs w:val="32"/>
          <w:highlight w:val="none"/>
          <w:lang w:val="en-US" w:eastAsia="zh-CN"/>
        </w:rPr>
        <w:t>或</w:t>
      </w:r>
      <w:r>
        <w:rPr>
          <w:rFonts w:hint="default" w:ascii="Times New Roman" w:hAnsi="Times New Roman" w:eastAsia="仿宋_GB2312" w:cs="Times New Roman"/>
          <w:color w:val="auto"/>
          <w:sz w:val="32"/>
          <w:szCs w:val="32"/>
          <w:highlight w:val="none"/>
        </w:rPr>
        <w:t>计量不准确</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黑体" w:cs="Times New Roman"/>
          <w:spacing w:val="0"/>
          <w:sz w:val="32"/>
          <w:szCs w:val="32"/>
          <w:lang w:val="en-US" w:eastAsia="zh-CN"/>
        </w:rPr>
      </w:pPr>
      <w:r>
        <w:rPr>
          <w:rFonts w:hint="eastAsia" w:ascii="黑体" w:hAnsi="黑体" w:eastAsia="黑体" w:cs="黑体"/>
          <w:color w:val="auto"/>
          <w:sz w:val="32"/>
          <w:szCs w:val="32"/>
          <w:highlight w:val="none"/>
          <w:lang w:val="en-US" w:eastAsia="zh-CN"/>
        </w:rPr>
        <w:t>十三、</w:t>
      </w:r>
      <w:r>
        <w:rPr>
          <w:rFonts w:hint="eastAsia" w:ascii="Times New Roman" w:hAnsi="Times New Roman" w:eastAsia="黑体" w:cs="Times New Roman"/>
          <w:spacing w:val="0"/>
          <w:sz w:val="32"/>
          <w:szCs w:val="32"/>
          <w:lang w:val="en-US" w:eastAsia="zh-CN"/>
        </w:rPr>
        <w:t>甜蜜素（以环己基氨基磺酸计）</w:t>
      </w:r>
    </w:p>
    <w:p>
      <w:pPr>
        <w:keepNext w:val="0"/>
        <w:keepLines w:val="0"/>
        <w:pageBreakBefore w:val="0"/>
        <w:widowControl/>
        <w:numPr>
          <w:ilvl w:val="0"/>
          <w:numId w:val="0"/>
        </w:numPr>
        <w:kinsoku/>
        <w:wordWrap/>
        <w:overflowPunct/>
        <w:topLinePunct w:val="0"/>
        <w:autoSpaceDE w:val="0"/>
        <w:autoSpaceDN w:val="0"/>
        <w:bidi w:val="0"/>
        <w:adjustRightInd/>
        <w:snapToGrid/>
        <w:spacing w:line="594" w:lineRule="exact"/>
        <w:ind w:firstLine="640" w:firstLineChars="200"/>
        <w:textAlignment w:val="auto"/>
        <w:rPr>
          <w:rFonts w:hint="default" w:ascii="Times New Roman" w:hAnsi="Times New Roman" w:eastAsia="黑体" w:cs="Times New Roman"/>
          <w:color w:val="auto"/>
          <w:spacing w:val="0"/>
          <w:sz w:val="32"/>
          <w:szCs w:val="32"/>
          <w:highlight w:val="none"/>
          <w:lang w:val="en-US" w:eastAsia="zh-CN"/>
        </w:rPr>
      </w:pPr>
      <w:r>
        <w:rPr>
          <w:rFonts w:hint="eastAsia" w:ascii="Times New Roman" w:hAnsi="Times New Roman" w:eastAsia="仿宋_GB2312" w:cs="Times New Roman"/>
          <w:kern w:val="2"/>
          <w:sz w:val="32"/>
          <w:szCs w:val="32"/>
          <w:highlight w:val="none"/>
          <w:lang w:val="en-US" w:eastAsia="zh-CN" w:bidi="ar-SA"/>
        </w:rPr>
        <w:t>甜蜜素，化学名称为环己基氨基磺酸钠，是食品生产中常用的甜味剂之一，甜度是蔗糖的30~80倍，人体不吸收甜蜜素，几乎全部原样从粪便排出。《食品安全国家标准 食品添加剂使用标准》（GB 2760—2024）中规定，腌渍的蔬菜中</w:t>
      </w:r>
      <w:r>
        <w:rPr>
          <w:rFonts w:hint="default" w:ascii="Times New Roman" w:hAnsi="Times New Roman" w:eastAsia="仿宋_GB2312" w:cs="Times New Roman"/>
          <w:kern w:val="2"/>
          <w:sz w:val="32"/>
          <w:szCs w:val="32"/>
          <w:highlight w:val="none"/>
          <w:lang w:val="en-US" w:eastAsia="zh-CN" w:bidi="ar-SA"/>
        </w:rPr>
        <w:t>甜蜜素</w:t>
      </w:r>
      <w:r>
        <w:rPr>
          <w:rFonts w:hint="eastAsia" w:ascii="Times New Roman" w:hAnsi="Times New Roman" w:eastAsia="仿宋_GB2312" w:cs="Times New Roman"/>
          <w:kern w:val="2"/>
          <w:sz w:val="32"/>
          <w:szCs w:val="32"/>
          <w:highlight w:val="none"/>
          <w:lang w:val="en-US" w:eastAsia="zh-CN" w:bidi="ar-SA"/>
        </w:rPr>
        <w:t>（以环己基氨基磺酸计）</w:t>
      </w:r>
      <w:r>
        <w:rPr>
          <w:rFonts w:hint="default" w:ascii="Times New Roman" w:hAnsi="Times New Roman" w:eastAsia="仿宋_GB2312" w:cs="Times New Roman"/>
          <w:kern w:val="2"/>
          <w:sz w:val="32"/>
          <w:szCs w:val="32"/>
          <w:highlight w:val="none"/>
          <w:lang w:val="en-US" w:eastAsia="zh-CN" w:bidi="ar-SA"/>
        </w:rPr>
        <w:t>的最大使用量为</w:t>
      </w:r>
      <w:r>
        <w:rPr>
          <w:rFonts w:hint="eastAsia" w:ascii="Times New Roman" w:hAnsi="Times New Roman" w:eastAsia="仿宋_GB2312" w:cs="Times New Roman"/>
          <w:kern w:val="2"/>
          <w:sz w:val="32"/>
          <w:szCs w:val="32"/>
          <w:highlight w:val="none"/>
          <w:lang w:val="en-US" w:eastAsia="zh-CN" w:bidi="ar-SA"/>
        </w:rPr>
        <w:t>1</w:t>
      </w:r>
      <w:r>
        <w:rPr>
          <w:rFonts w:hint="default" w:ascii="Times New Roman" w:hAnsi="Times New Roman" w:eastAsia="仿宋_GB2312" w:cs="Times New Roman"/>
          <w:kern w:val="2"/>
          <w:sz w:val="32"/>
          <w:szCs w:val="32"/>
          <w:highlight w:val="none"/>
          <w:lang w:val="en-US" w:eastAsia="zh-CN" w:bidi="ar-SA"/>
        </w:rPr>
        <w:t>.0g/kg</w:t>
      </w:r>
      <w:r>
        <w:rPr>
          <w:rFonts w:hint="eastAsia" w:ascii="Times New Roman" w:hAnsi="Times New Roman" w:eastAsia="仿宋_GB2312" w:cs="Times New Roman"/>
          <w:kern w:val="2"/>
          <w:sz w:val="32"/>
          <w:szCs w:val="32"/>
          <w:highlight w:val="none"/>
          <w:lang w:val="en-US" w:eastAsia="zh-CN" w:bidi="ar-SA"/>
        </w:rPr>
        <w:t>，调味面制品中甜蜜素（以环己基氨基磺酸计）的最大使用量为1.6g/kg，饮料类</w:t>
      </w:r>
      <w:r>
        <w:rPr>
          <w:rFonts w:hint="eastAsia" w:ascii="仿宋_GB2312" w:hAnsi="仿宋_GB2312" w:eastAsia="仿宋_GB2312" w:cs="仿宋_GB2312"/>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包装饮用水、果蔬汁（浆）、浓缩果蔬汁（浆）除外</w:t>
      </w:r>
      <w:r>
        <w:rPr>
          <w:rFonts w:hint="eastAsia" w:ascii="仿宋_GB2312" w:hAnsi="仿宋_GB2312" w:eastAsia="仿宋_GB2312" w:cs="仿宋_GB2312"/>
          <w:kern w:val="2"/>
          <w:sz w:val="32"/>
          <w:szCs w:val="32"/>
          <w:highlight w:val="none"/>
          <w:lang w:val="en-US" w:eastAsia="zh-CN" w:bidi="ar-SA"/>
        </w:rPr>
        <w:t>]</w:t>
      </w:r>
      <w:r>
        <w:rPr>
          <w:rFonts w:hint="eastAsia" w:ascii="Times New Roman" w:hAnsi="Times New Roman" w:eastAsia="仿宋_GB2312" w:cs="Times New Roman"/>
          <w:kern w:val="2"/>
          <w:sz w:val="32"/>
          <w:szCs w:val="32"/>
          <w:highlight w:val="none"/>
          <w:lang w:val="en-US" w:eastAsia="zh-CN" w:bidi="ar-SA"/>
        </w:rPr>
        <w:t>中甜蜜素（以环己基氨基磺酸计）以即饮状态计应≤0.65g/kg，相应的固体饮料按稀释倍数增加使用量。腌渍的蔬菜、</w:t>
      </w:r>
      <w:r>
        <w:rPr>
          <w:rFonts w:hint="eastAsia" w:ascii="Times New Roman" w:hAnsi="Times New Roman" w:eastAsia="仿宋_GB2312" w:cs="Times New Roman"/>
          <w:sz w:val="32"/>
          <w:szCs w:val="32"/>
          <w:lang w:val="en-US" w:eastAsia="zh-CN"/>
        </w:rPr>
        <w:t>调味面制品、</w:t>
      </w:r>
      <w:r>
        <w:rPr>
          <w:rFonts w:hint="eastAsia" w:ascii="Times New Roman" w:hAnsi="Times New Roman" w:eastAsia="仿宋_GB2312" w:cs="Times New Roman"/>
          <w:sz w:val="32"/>
          <w:szCs w:val="32"/>
          <w:highlight w:val="none"/>
          <w:lang w:val="en-US" w:eastAsia="zh-CN"/>
        </w:rPr>
        <w:t>固体饮料</w:t>
      </w:r>
      <w:r>
        <w:rPr>
          <w:rFonts w:hint="eastAsia" w:ascii="Times New Roman" w:hAnsi="Times New Roman" w:eastAsia="仿宋_GB2312" w:cs="Times New Roman"/>
          <w:kern w:val="2"/>
          <w:sz w:val="32"/>
          <w:szCs w:val="32"/>
          <w:highlight w:val="none"/>
          <w:lang w:val="en-US" w:eastAsia="zh-CN" w:bidi="ar-SA"/>
        </w:rPr>
        <w:t>中甜蜜素（以环己基氨基磺酸计）检验值超标的原因，可能是生产经营企业超限量使用；</w:t>
      </w:r>
      <w:r>
        <w:rPr>
          <w:rFonts w:hint="eastAsia" w:ascii="Times New Roman" w:hAnsi="Times New Roman" w:eastAsia="仿宋_GB2312" w:cs="Times New Roman"/>
          <w:color w:val="auto"/>
          <w:sz w:val="32"/>
          <w:szCs w:val="32"/>
          <w:highlight w:val="none"/>
          <w:lang w:val="en-US" w:eastAsia="zh-CN"/>
        </w:rPr>
        <w:t>也</w:t>
      </w:r>
      <w:r>
        <w:rPr>
          <w:rFonts w:hint="default" w:ascii="Times New Roman" w:hAnsi="Times New Roman" w:eastAsia="仿宋_GB2312" w:cs="Times New Roman"/>
          <w:color w:val="auto"/>
          <w:sz w:val="32"/>
          <w:szCs w:val="32"/>
          <w:highlight w:val="none"/>
        </w:rPr>
        <w:t>可能是</w:t>
      </w:r>
      <w:r>
        <w:rPr>
          <w:rFonts w:hint="default" w:ascii="Times New Roman" w:hAnsi="Times New Roman" w:eastAsia="仿宋_GB2312" w:cs="Times New Roman"/>
          <w:color w:val="auto"/>
          <w:kern w:val="2"/>
          <w:sz w:val="32"/>
          <w:szCs w:val="32"/>
          <w:highlight w:val="none"/>
          <w:lang w:val="en-US" w:eastAsia="zh-CN" w:bidi="ar-SA"/>
        </w:rPr>
        <w:t>使用时</w:t>
      </w:r>
      <w:r>
        <w:rPr>
          <w:rFonts w:hint="default" w:ascii="Times New Roman" w:hAnsi="Times New Roman" w:eastAsia="仿宋_GB2312" w:cs="Times New Roman"/>
          <w:color w:val="auto"/>
          <w:sz w:val="32"/>
          <w:szCs w:val="32"/>
          <w:highlight w:val="none"/>
        </w:rPr>
        <w:t>未计量</w:t>
      </w:r>
      <w:r>
        <w:rPr>
          <w:rFonts w:hint="eastAsia" w:ascii="Times New Roman" w:hAnsi="Times New Roman" w:eastAsia="仿宋_GB2312" w:cs="Times New Roman"/>
          <w:color w:val="auto"/>
          <w:sz w:val="32"/>
          <w:szCs w:val="32"/>
          <w:highlight w:val="none"/>
          <w:lang w:val="en-US" w:eastAsia="zh-CN"/>
        </w:rPr>
        <w:t>或</w:t>
      </w:r>
      <w:r>
        <w:rPr>
          <w:rFonts w:hint="default" w:ascii="Times New Roman" w:hAnsi="Times New Roman" w:eastAsia="仿宋_GB2312" w:cs="Times New Roman"/>
          <w:color w:val="auto"/>
          <w:sz w:val="32"/>
          <w:szCs w:val="32"/>
          <w:highlight w:val="none"/>
        </w:rPr>
        <w:t>计量不准确</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right="0" w:rightChars="0" w:firstLine="640" w:firstLineChars="200"/>
        <w:jc w:val="both"/>
        <w:textAlignment w:val="auto"/>
        <w:rPr>
          <w:rFonts w:hint="eastAsia" w:ascii="Times New Roman" w:hAnsi="Times New Roman" w:eastAsia="黑体" w:cs="Times New Roman"/>
          <w:color w:val="auto"/>
          <w:sz w:val="32"/>
          <w:szCs w:val="32"/>
          <w:highlight w:val="none"/>
          <w:lang w:val="en-US" w:eastAsia="zh-CN"/>
        </w:rPr>
      </w:pPr>
      <w:r>
        <w:rPr>
          <w:rFonts w:hint="eastAsia" w:ascii="Times New Roman" w:hAnsi="Times New Roman" w:eastAsia="黑体" w:cs="Times New Roman"/>
          <w:color w:val="auto"/>
          <w:spacing w:val="0"/>
          <w:sz w:val="32"/>
          <w:szCs w:val="32"/>
          <w:highlight w:val="none"/>
          <w:lang w:val="en-US" w:eastAsia="zh-CN"/>
        </w:rPr>
        <w:t>十四</w:t>
      </w:r>
      <w:r>
        <w:rPr>
          <w:rFonts w:hint="default" w:ascii="Times New Roman" w:hAnsi="Times New Roman" w:eastAsia="黑体" w:cs="Times New Roman"/>
          <w:color w:val="auto"/>
          <w:spacing w:val="0"/>
          <w:sz w:val="32"/>
          <w:szCs w:val="32"/>
          <w:highlight w:val="none"/>
        </w:rPr>
        <w:t>、</w:t>
      </w:r>
      <w:r>
        <w:rPr>
          <w:rFonts w:hint="eastAsia" w:ascii="Times New Roman" w:hAnsi="Times New Roman" w:eastAsia="黑体" w:cs="Times New Roman"/>
          <w:color w:val="auto"/>
          <w:sz w:val="32"/>
          <w:szCs w:val="32"/>
          <w:highlight w:val="none"/>
          <w:lang w:val="en-US" w:eastAsia="zh-CN"/>
        </w:rPr>
        <w:t>防腐剂混合使用时各自用量占其最大使用量的比例之和</w:t>
      </w:r>
    </w:p>
    <w:p>
      <w:pPr>
        <w:pStyle w:val="9"/>
        <w:spacing w:after="0"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pacing w:val="0"/>
          <w:sz w:val="32"/>
          <w:szCs w:val="32"/>
          <w:highlight w:val="none"/>
        </w:rPr>
        <w:t>防腐剂是常见的食品添加剂，用于延缓或抑制由微生物引起的食品腐败变质。长期食用防腐剂超标的食品会对人体健康造成损害。</w:t>
      </w:r>
      <w:r>
        <w:rPr>
          <w:rFonts w:hint="eastAsia" w:ascii="Times New Roman" w:hAnsi="Times New Roman" w:eastAsia="仿宋_GB2312" w:cs="Times New Roman"/>
          <w:sz w:val="32"/>
          <w:szCs w:val="32"/>
          <w:highlight w:val="none"/>
          <w:shd w:val="clear" w:color="auto" w:fill="FFFFFF"/>
          <w:lang w:val="en-US" w:eastAsia="zh-CN"/>
        </w:rPr>
        <w:t>《食品安全国家标准 食品添加剂使用标准》（GB 2760—2024）</w:t>
      </w:r>
      <w:r>
        <w:rPr>
          <w:rFonts w:hint="eastAsia" w:ascii="Times New Roman" w:hAnsi="Times New Roman" w:eastAsia="仿宋_GB2312" w:cs="Times New Roman"/>
          <w:spacing w:val="0"/>
          <w:sz w:val="32"/>
          <w:szCs w:val="32"/>
          <w:highlight w:val="none"/>
          <w:lang w:val="en-US" w:eastAsia="zh-CN"/>
        </w:rPr>
        <w:t>中规定，</w:t>
      </w:r>
      <w:r>
        <w:rPr>
          <w:rFonts w:hint="default" w:ascii="Times New Roman" w:hAnsi="Times New Roman" w:eastAsia="仿宋_GB2312" w:cs="Times New Roman"/>
          <w:spacing w:val="0"/>
          <w:sz w:val="32"/>
          <w:szCs w:val="32"/>
          <w:highlight w:val="none"/>
        </w:rPr>
        <w:t>防腐剂</w:t>
      </w:r>
      <w:r>
        <w:rPr>
          <w:rFonts w:hint="eastAsia" w:ascii="Times New Roman" w:hAnsi="Times New Roman" w:eastAsia="仿宋_GB2312" w:cs="Times New Roman"/>
          <w:spacing w:val="0"/>
          <w:sz w:val="32"/>
          <w:szCs w:val="32"/>
          <w:highlight w:val="none"/>
          <w:lang w:val="en-US" w:eastAsia="zh-CN"/>
        </w:rPr>
        <w:t>在</w:t>
      </w:r>
      <w:r>
        <w:rPr>
          <w:rFonts w:hint="default" w:ascii="Times New Roman" w:hAnsi="Times New Roman" w:eastAsia="仿宋_GB2312" w:cs="Times New Roman"/>
          <w:spacing w:val="0"/>
          <w:sz w:val="32"/>
          <w:szCs w:val="32"/>
          <w:highlight w:val="none"/>
        </w:rPr>
        <w:t>混合使用时各自用量占其最大使用量的比例之和</w:t>
      </w:r>
      <w:r>
        <w:rPr>
          <w:rFonts w:hint="eastAsia" w:ascii="Times New Roman" w:hAnsi="Times New Roman" w:eastAsia="仿宋_GB2312"/>
          <w:sz w:val="32"/>
          <w:szCs w:val="32"/>
          <w:highlight w:val="none"/>
        </w:rPr>
        <w:t>不应超过1</w:t>
      </w:r>
      <w:r>
        <w:rPr>
          <w:rFonts w:hint="default" w:ascii="Times New Roman" w:hAnsi="Times New Roman" w:eastAsia="仿宋_GB2312" w:cs="Times New Roman"/>
          <w:spacing w:val="0"/>
          <w:sz w:val="32"/>
          <w:szCs w:val="32"/>
          <w:highlight w:val="none"/>
        </w:rPr>
        <w:t>。</w:t>
      </w:r>
      <w:r>
        <w:rPr>
          <w:rFonts w:hint="eastAsia" w:ascii="Calibri" w:hAnsi="Calibri" w:eastAsia="仿宋_GB2312" w:cs="Times New Roman"/>
          <w:kern w:val="2"/>
          <w:sz w:val="32"/>
          <w:szCs w:val="32"/>
          <w:highlight w:val="none"/>
          <w:lang w:val="en-US" w:eastAsia="zh-CN" w:bidi="ar-SA"/>
        </w:rPr>
        <w:t>腌渍</w:t>
      </w:r>
      <w:r>
        <w:rPr>
          <w:rFonts w:hint="eastAsia" w:ascii="Times New Roman" w:hAnsi="Times New Roman" w:eastAsia="仿宋_GB2312" w:cs="Times New Roman"/>
          <w:spacing w:val="0"/>
          <w:sz w:val="32"/>
          <w:szCs w:val="32"/>
          <w:highlight w:val="none"/>
          <w:lang w:val="en-US" w:eastAsia="zh-CN"/>
        </w:rPr>
        <w:t>的蔬菜、面包</w:t>
      </w:r>
      <w:r>
        <w:rPr>
          <w:rFonts w:hint="default" w:ascii="Times New Roman" w:hAnsi="Times New Roman" w:eastAsia="仿宋_GB2312" w:cs="Times New Roman"/>
          <w:spacing w:val="0"/>
          <w:sz w:val="32"/>
          <w:szCs w:val="32"/>
          <w:highlight w:val="none"/>
        </w:rPr>
        <w:t>中防腐剂混合使用时各自用量占其最大使用量的比例之和</w:t>
      </w:r>
      <w:r>
        <w:rPr>
          <w:rFonts w:hint="eastAsia" w:ascii="Times New Roman" w:hAnsi="Times New Roman" w:eastAsia="仿宋_GB2312" w:cs="Times New Roman"/>
          <w:spacing w:val="0"/>
          <w:sz w:val="32"/>
          <w:szCs w:val="32"/>
          <w:highlight w:val="none"/>
          <w:lang w:val="en-US" w:eastAsia="zh-CN"/>
        </w:rPr>
        <w:t>超标</w:t>
      </w:r>
      <w:r>
        <w:rPr>
          <w:rFonts w:hint="default" w:ascii="Times New Roman" w:hAnsi="Times New Roman" w:eastAsia="仿宋_GB2312" w:cs="Times New Roman"/>
          <w:spacing w:val="0"/>
          <w:sz w:val="32"/>
          <w:szCs w:val="32"/>
          <w:highlight w:val="none"/>
        </w:rPr>
        <w:t>的原因，可能是生产企业在生产加工过程中未严格控制各防腐剂的用量。</w:t>
      </w:r>
    </w:p>
    <w:p>
      <w:pPr>
        <w:spacing w:line="594" w:lineRule="exact"/>
        <w:ind w:firstLine="640" w:firstLineChars="200"/>
        <w:jc w:val="both"/>
        <w:rPr>
          <w:rFonts w:hint="default" w:ascii="Times New Roman" w:hAnsi="Times New Roman" w:eastAsia="黑体" w:cs="Times New Roman"/>
          <w:spacing w:val="0"/>
          <w:sz w:val="32"/>
          <w:szCs w:val="32"/>
          <w:lang w:val="en-US" w:eastAsia="zh-CN"/>
        </w:rPr>
      </w:pPr>
      <w:r>
        <w:rPr>
          <w:rFonts w:hint="eastAsia" w:eastAsia="黑体"/>
          <w:color w:val="auto"/>
          <w:spacing w:val="0"/>
          <w:sz w:val="32"/>
          <w:szCs w:val="32"/>
          <w:highlight w:val="none"/>
          <w:lang w:val="en-US" w:eastAsia="zh-CN"/>
        </w:rPr>
        <w:t>十五</w:t>
      </w:r>
      <w:r>
        <w:rPr>
          <w:rFonts w:hint="default" w:eastAsia="黑体"/>
          <w:color w:val="auto"/>
          <w:spacing w:val="0"/>
          <w:sz w:val="32"/>
          <w:szCs w:val="32"/>
          <w:highlight w:val="none"/>
          <w:lang w:val="en-US" w:eastAsia="zh-CN"/>
        </w:rPr>
        <w:t>、</w:t>
      </w:r>
      <w:r>
        <w:rPr>
          <w:rFonts w:hint="default" w:ascii="Times New Roman" w:hAnsi="Times New Roman" w:eastAsia="黑体" w:cs="Times New Roman"/>
          <w:spacing w:val="0"/>
          <w:sz w:val="32"/>
          <w:szCs w:val="32"/>
          <w:lang w:val="en-US" w:eastAsia="zh-CN"/>
        </w:rPr>
        <w:t>铜绿假单胞菌</w:t>
      </w:r>
    </w:p>
    <w:p>
      <w:pPr>
        <w:keepNext w:val="0"/>
        <w:keepLines w:val="0"/>
        <w:pageBreakBefore w:val="0"/>
        <w:widowControl/>
        <w:kinsoku/>
        <w:wordWrap/>
        <w:overflowPunct/>
        <w:topLinePunct w:val="0"/>
        <w:autoSpaceDE/>
        <w:autoSpaceDN/>
        <w:bidi w:val="0"/>
        <w:adjustRightInd/>
        <w:snapToGrid/>
        <w:spacing w:line="594" w:lineRule="exact"/>
        <w:ind w:right="0" w:firstLine="640" w:firstLineChars="200"/>
        <w:textAlignment w:val="auto"/>
        <w:rPr>
          <w:rFonts w:hint="default" w:eastAsia="黑体"/>
          <w:color w:val="auto"/>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铜绿假单胞菌具有分解蛋白质、碳水化合物和脂肪的能力，是重要的食品腐败性细菌，易在潮湿的环境存活，对消毒剂、紫外线等具有较强的抵抗力。铜绿假单胞菌是一种条件致病菌，对于免疫力较弱的人群健康风险较大。《食品安全国家标准 包装饮用水》（GB 19298</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2014）中规定，包装饮用水同一批次产品5个样品中均不得检出铜绿假单胞菌。</w:t>
      </w:r>
      <w:r>
        <w:rPr>
          <w:rFonts w:hint="eastAsia" w:ascii="Times New Roman" w:hAnsi="Times New Roman" w:eastAsia="仿宋_GB2312" w:cs="Times New Roman"/>
          <w:sz w:val="32"/>
          <w:szCs w:val="32"/>
          <w:highlight w:val="none"/>
          <w:lang w:val="en-US" w:eastAsia="zh-CN"/>
        </w:rPr>
        <w:t>包装饮用水</w:t>
      </w:r>
      <w:r>
        <w:rPr>
          <w:rFonts w:hint="default" w:ascii="Times New Roman" w:hAnsi="Times New Roman" w:eastAsia="仿宋_GB2312" w:cs="Times New Roman"/>
          <w:sz w:val="32"/>
          <w:szCs w:val="32"/>
          <w:highlight w:val="none"/>
          <w:lang w:val="en-US" w:eastAsia="zh-CN"/>
        </w:rPr>
        <w:t>中铜绿假单胞菌</w:t>
      </w:r>
      <w:r>
        <w:rPr>
          <w:rFonts w:hint="eastAsia" w:ascii="Times New Roman" w:hAnsi="Times New Roman" w:eastAsia="仿宋_GB2312" w:cs="Times New Roman"/>
          <w:sz w:val="32"/>
          <w:szCs w:val="32"/>
          <w:highlight w:val="none"/>
          <w:lang w:val="en-US" w:eastAsia="zh-CN"/>
        </w:rPr>
        <w:t>数</w:t>
      </w:r>
      <w:r>
        <w:rPr>
          <w:rFonts w:hint="default" w:ascii="Times New Roman" w:hAnsi="Times New Roman" w:eastAsia="仿宋_GB2312" w:cs="Times New Roman"/>
          <w:sz w:val="32"/>
          <w:szCs w:val="32"/>
          <w:highlight w:val="none"/>
          <w:lang w:val="en-US" w:eastAsia="zh-CN"/>
        </w:rPr>
        <w:t>超标</w:t>
      </w:r>
      <w:r>
        <w:rPr>
          <w:rFonts w:hint="eastAsia" w:ascii="Times New Roman" w:hAnsi="Times New Roman" w:eastAsia="仿宋_GB2312" w:cs="Times New Roman"/>
          <w:sz w:val="32"/>
          <w:szCs w:val="32"/>
          <w:highlight w:val="none"/>
          <w:lang w:val="en-US" w:eastAsia="zh-CN"/>
        </w:rPr>
        <w:t>的原因，</w:t>
      </w:r>
      <w:r>
        <w:rPr>
          <w:rFonts w:hint="default" w:ascii="Times New Roman" w:hAnsi="Times New Roman" w:eastAsia="仿宋_GB2312" w:cs="Times New Roman"/>
          <w:sz w:val="32"/>
          <w:szCs w:val="32"/>
          <w:highlight w:val="none"/>
          <w:lang w:val="en-US" w:eastAsia="zh-CN"/>
        </w:rPr>
        <w:t>可能是水源防护不当导致水体受到污染</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也可能是生产过程中消毒杀菌不彻底</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还可能是包装材料受到污染且未清洗消毒所致。</w:t>
      </w:r>
    </w:p>
    <w:p>
      <w:pPr>
        <w:spacing w:line="594" w:lineRule="exact"/>
        <w:ind w:firstLine="640" w:firstLineChars="200"/>
        <w:jc w:val="both"/>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pacing w:val="0"/>
          <w:sz w:val="32"/>
          <w:szCs w:val="32"/>
          <w:highlight w:val="none"/>
          <w:lang w:val="en-US" w:eastAsia="zh-CN"/>
        </w:rPr>
        <w:t>十六、</w:t>
      </w:r>
      <w:r>
        <w:rPr>
          <w:rFonts w:hint="default" w:ascii="Times New Roman" w:hAnsi="Times New Roman" w:eastAsia="黑体" w:cs="Times New Roman"/>
          <w:spacing w:val="0"/>
          <w:sz w:val="32"/>
          <w:szCs w:val="32"/>
          <w:lang w:val="en-US" w:eastAsia="zh-CN"/>
        </w:rPr>
        <w:t>大肠菌群</w:t>
      </w:r>
    </w:p>
    <w:p>
      <w:pPr>
        <w:pStyle w:val="9"/>
        <w:adjustRightInd/>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rPr>
        <w:t>大肠菌群是国内外通用的食品污染常用指示菌之一。食品中检出大肠菌群提示被致病菌（如沙门氏菌、志贺氏菌、致病性大肠杆菌）污染的可能性较大。如果食品中的大肠菌群严重超标，将会破坏食品的营养成分，使食品失去食用价值；还会加速食品腐败变质，可能危害人体健康。《食品安全国家标准 发酵乳》（GB 19302</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2025）中规定，发酵乳同一批次产品5个样品的大肠菌群检验结果均不得超过5CFU/g，且最多允许2个样品的检验结果超过1CFU/g</w:t>
      </w:r>
      <w:r>
        <w:rPr>
          <w:rFonts w:hint="eastAsia" w:ascii="Times New Roman" w:hAnsi="Times New Roman" w:eastAsia="仿宋_GB2312" w:cs="Times New Roman"/>
          <w:sz w:val="32"/>
          <w:szCs w:val="32"/>
          <w:highlight w:val="none"/>
          <w:lang w:val="en-US" w:eastAsia="zh-CN"/>
        </w:rPr>
        <w:t>；《食品安全国家标准 动物性水产制品》（GB 10136—2015）中规定，即食生制动物性水产制品同一批次产品5个样品的大肠菌群检验结果均不得超过10</w:t>
      </w:r>
      <w:r>
        <w:rPr>
          <w:rFonts w:hint="eastAsia" w:ascii="Times New Roman" w:hAnsi="Times New Roman" w:eastAsia="仿宋_GB2312" w:cs="Times New Roman"/>
          <w:sz w:val="32"/>
          <w:szCs w:val="32"/>
          <w:highlight w:val="none"/>
          <w:vertAlign w:val="superscript"/>
          <w:lang w:val="en-US" w:eastAsia="zh-CN"/>
        </w:rPr>
        <w:t>2</w:t>
      </w:r>
      <w:r>
        <w:rPr>
          <w:rFonts w:hint="eastAsia" w:ascii="Times New Roman" w:hAnsi="Times New Roman" w:eastAsia="仿宋_GB2312" w:cs="Times New Roman"/>
          <w:sz w:val="32"/>
          <w:szCs w:val="32"/>
          <w:highlight w:val="none"/>
          <w:lang w:val="en-US" w:eastAsia="zh-CN"/>
        </w:rPr>
        <w:t>CFU/g，且最多允许2个样品的检验结果超过10CFU/g。</w:t>
      </w:r>
      <w:r>
        <w:rPr>
          <w:rFonts w:hint="default" w:ascii="Times New Roman" w:hAnsi="Times New Roman" w:eastAsia="仿宋_GB2312" w:cs="Times New Roman"/>
          <w:sz w:val="32"/>
          <w:szCs w:val="32"/>
          <w:highlight w:val="none"/>
          <w:lang w:val="en-US" w:eastAsia="zh-CN"/>
        </w:rPr>
        <w:t>发酵乳</w:t>
      </w:r>
      <w:r>
        <w:rPr>
          <w:rFonts w:hint="eastAsia" w:ascii="Times New Roman" w:hAnsi="Times New Roman" w:eastAsia="仿宋_GB2312" w:cs="Times New Roman"/>
          <w:sz w:val="32"/>
          <w:szCs w:val="32"/>
          <w:highlight w:val="none"/>
          <w:lang w:val="en-US" w:eastAsia="zh-CN"/>
        </w:rPr>
        <w:t>、即食生制动物性水产制品</w:t>
      </w:r>
      <w:r>
        <w:rPr>
          <w:rFonts w:hint="default" w:ascii="Times New Roman" w:hAnsi="Times New Roman" w:eastAsia="仿宋_GB2312" w:cs="Times New Roman"/>
          <w:sz w:val="32"/>
          <w:szCs w:val="32"/>
          <w:highlight w:val="none"/>
          <w:lang w:val="en-US" w:eastAsia="zh-CN"/>
        </w:rPr>
        <w:t>中大肠菌群数超标的原因，可能是产品的加工原料、包装材料受污染或产品在生产过程中受人员、工器具等的污染</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也可能是灭菌不彻底导致的</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还可能与产品储存条件不当有关。</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eastAsia="黑体"/>
          <w:color w:val="auto"/>
          <w:spacing w:val="0"/>
          <w:sz w:val="32"/>
          <w:szCs w:val="32"/>
          <w:highlight w:val="none"/>
          <w:lang w:val="en-US" w:eastAsia="zh-CN"/>
        </w:rPr>
        <w:t>十七、</w:t>
      </w:r>
      <w:r>
        <w:rPr>
          <w:rFonts w:hint="eastAsia" w:ascii="黑体" w:hAnsi="黑体" w:eastAsia="黑体" w:cs="黑体"/>
          <w:color w:val="000000" w:themeColor="text1"/>
          <w:sz w:val="32"/>
          <w:szCs w:val="32"/>
          <w:highlight w:val="none"/>
          <w:lang w:val="en-US" w:eastAsia="zh-CN"/>
          <w14:textFill>
            <w14:solidFill>
              <w14:schemeClr w14:val="tx1"/>
            </w14:solidFill>
          </w14:textFill>
        </w:rPr>
        <w:t>菌落总数</w:t>
      </w:r>
    </w:p>
    <w:p>
      <w:pPr>
        <w:pStyle w:val="9"/>
        <w:adjustRightInd/>
        <w:snapToGrid/>
        <w:spacing w:after="0"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highlight w:val="none"/>
        </w:rPr>
        <w:t>菌落总数是指示性微生物指标，不是致病菌指标，反映食品在生产过程中的卫生状况。如果食品的菌落总数严重超标，将会破坏食品的营养成分，使食品失去食用价值；还会加速食品腐败变质，可能危害人体健康。</w:t>
      </w:r>
      <w:r>
        <w:rPr>
          <w:rFonts w:hint="eastAsia" w:ascii="Times New Roman" w:hAnsi="Times New Roman" w:eastAsia="仿宋_GB2312" w:cs="Times New Roman"/>
          <w:sz w:val="32"/>
          <w:szCs w:val="32"/>
          <w:highlight w:val="none"/>
          <w:lang w:val="en-US" w:eastAsia="zh-CN"/>
        </w:rPr>
        <w:t>《食品安全国家标准 糕点、面包》（GB 7099—2015）中规定</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糕点同一批次5个样品的</w:t>
      </w:r>
      <w:r>
        <w:rPr>
          <w:rFonts w:hint="eastAsia" w:ascii="Times New Roman" w:hAnsi="Times New Roman" w:eastAsia="仿宋_GB2312" w:cs="Times New Roman"/>
          <w:sz w:val="32"/>
          <w:szCs w:val="32"/>
          <w:highlight w:val="none"/>
          <w:lang w:eastAsia="zh-CN"/>
        </w:rPr>
        <w:t>菌落总数</w:t>
      </w:r>
      <w:r>
        <w:rPr>
          <w:rFonts w:hint="eastAsia" w:ascii="Times New Roman" w:hAnsi="Times New Roman" w:eastAsia="仿宋_GB2312" w:cs="Times New Roman"/>
          <w:sz w:val="32"/>
          <w:szCs w:val="32"/>
          <w:highlight w:val="none"/>
          <w:lang w:val="en-US" w:eastAsia="zh-CN"/>
        </w:rPr>
        <w:t>检验</w:t>
      </w:r>
      <w:r>
        <w:rPr>
          <w:rFonts w:hint="eastAsia" w:ascii="Times New Roman" w:hAnsi="Times New Roman" w:eastAsia="仿宋_GB2312" w:cs="Times New Roman"/>
          <w:sz w:val="32"/>
          <w:szCs w:val="32"/>
          <w:highlight w:val="none"/>
          <w:lang w:eastAsia="zh-CN"/>
        </w:rPr>
        <w:t>结果均不得超过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lang w:eastAsia="zh-CN"/>
        </w:rPr>
        <w:t>CFU/g，且最多允许2个样品的检</w:t>
      </w:r>
      <w:r>
        <w:rPr>
          <w:rFonts w:hint="eastAsia" w:ascii="Times New Roman" w:hAnsi="Times New Roman" w:eastAsia="仿宋_GB2312" w:cs="Times New Roman"/>
          <w:sz w:val="32"/>
          <w:szCs w:val="32"/>
          <w:highlight w:val="none"/>
          <w:lang w:val="en-US" w:eastAsia="zh-CN"/>
        </w:rPr>
        <w:t>验</w:t>
      </w:r>
      <w:r>
        <w:rPr>
          <w:rFonts w:hint="eastAsia" w:ascii="Times New Roman" w:hAnsi="Times New Roman" w:eastAsia="仿宋_GB2312" w:cs="Times New Roman"/>
          <w:sz w:val="32"/>
          <w:szCs w:val="32"/>
          <w:highlight w:val="none"/>
          <w:lang w:eastAsia="zh-CN"/>
        </w:rPr>
        <w:t>结果超过</w:t>
      </w: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vertAlign w:val="superscript"/>
          <w:lang w:val="en-US" w:eastAsia="zh-CN"/>
        </w:rPr>
        <w:t>4</w:t>
      </w:r>
      <w:r>
        <w:rPr>
          <w:rFonts w:hint="eastAsia" w:ascii="Times New Roman" w:hAnsi="Times New Roman" w:eastAsia="仿宋_GB2312" w:cs="Times New Roman"/>
          <w:sz w:val="32"/>
          <w:szCs w:val="32"/>
          <w:highlight w:val="none"/>
          <w:lang w:eastAsia="zh-CN"/>
        </w:rPr>
        <w:t>CFU/g；</w:t>
      </w:r>
      <w:r>
        <w:rPr>
          <w:rFonts w:ascii="Times New Roman" w:hAnsi="Times New Roman" w:eastAsia="仿宋_GB2312" w:cs="Times New Roman"/>
          <w:sz w:val="32"/>
          <w:szCs w:val="32"/>
        </w:rPr>
        <w:t xml:space="preserve">《食品安全国家标准 </w:t>
      </w:r>
      <w:r>
        <w:rPr>
          <w:rFonts w:hint="eastAsia" w:ascii="Times New Roman" w:hAnsi="Times New Roman" w:eastAsia="仿宋_GB2312" w:cs="Times New Roman"/>
          <w:kern w:val="2"/>
          <w:sz w:val="32"/>
          <w:szCs w:val="32"/>
          <w:highlight w:val="none"/>
          <w:lang w:val="en-US" w:eastAsia="zh-CN" w:bidi="ar-SA"/>
        </w:rPr>
        <w:t>熟肉制品</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 xml:space="preserve">GB </w:t>
      </w:r>
      <w:r>
        <w:rPr>
          <w:rFonts w:hint="eastAsia" w:ascii="Times New Roman" w:hAnsi="Times New Roman" w:eastAsia="仿宋_GB2312" w:cs="Times New Roman"/>
          <w:sz w:val="32"/>
          <w:szCs w:val="32"/>
          <w:lang w:val="en-US" w:eastAsia="zh-CN"/>
        </w:rPr>
        <w:t>2726</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）中规定，</w:t>
      </w:r>
      <w:r>
        <w:rPr>
          <w:rFonts w:hint="default" w:ascii="Times New Roman" w:hAnsi="Times New Roman" w:eastAsia="仿宋_GB2312" w:cs="Times New Roman"/>
          <w:sz w:val="32"/>
          <w:szCs w:val="32"/>
        </w:rPr>
        <w:t>熟肉制品（除发酵肉制品外）同一批次产品5个样品的菌落总数</w:t>
      </w:r>
      <w:r>
        <w:rPr>
          <w:rFonts w:hint="eastAsia" w:ascii="Times New Roman" w:hAnsi="Times New Roman" w:eastAsia="仿宋_GB2312" w:cs="Times New Roman"/>
          <w:sz w:val="32"/>
          <w:szCs w:val="32"/>
          <w:lang w:val="en-US" w:eastAsia="zh-CN"/>
        </w:rPr>
        <w:t>检验</w:t>
      </w:r>
      <w:r>
        <w:rPr>
          <w:rFonts w:hint="default" w:ascii="Times New Roman" w:hAnsi="Times New Roman" w:eastAsia="仿宋_GB2312" w:cs="Times New Roman"/>
          <w:sz w:val="32"/>
          <w:szCs w:val="32"/>
        </w:rPr>
        <w:t>结果均不得超过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5</w:t>
      </w:r>
      <w:r>
        <w:rPr>
          <w:rFonts w:hint="default" w:ascii="Times New Roman" w:hAnsi="Times New Roman" w:eastAsia="仿宋_GB2312" w:cs="Times New Roman"/>
          <w:sz w:val="32"/>
          <w:szCs w:val="32"/>
        </w:rPr>
        <w:t>CFU/</w:t>
      </w:r>
      <w:r>
        <w:rPr>
          <w:rFonts w:hint="eastAsia" w:ascii="Times New Roman" w:hAnsi="Times New Roman" w:eastAsia="仿宋_GB2312" w:cs="Times New Roman"/>
          <w:sz w:val="32"/>
          <w:szCs w:val="32"/>
          <w:lang w:val="en-US" w:eastAsia="zh-CN"/>
        </w:rPr>
        <w:t>g</w:t>
      </w:r>
      <w:r>
        <w:rPr>
          <w:rFonts w:hint="default" w:ascii="Times New Roman" w:hAnsi="Times New Roman" w:eastAsia="仿宋_GB2312" w:cs="Times New Roman"/>
          <w:sz w:val="32"/>
          <w:szCs w:val="32"/>
        </w:rPr>
        <w:t>，且最多允许2个样品的</w:t>
      </w:r>
      <w:r>
        <w:rPr>
          <w:rFonts w:hint="eastAsia" w:ascii="Times New Roman" w:hAnsi="Times New Roman" w:eastAsia="仿宋_GB2312" w:cs="Times New Roman"/>
          <w:sz w:val="32"/>
          <w:szCs w:val="32"/>
          <w:lang w:val="en-US" w:eastAsia="zh-CN"/>
        </w:rPr>
        <w:t>检验</w:t>
      </w:r>
      <w:r>
        <w:rPr>
          <w:rFonts w:hint="default" w:ascii="Times New Roman" w:hAnsi="Times New Roman" w:eastAsia="仿宋_GB2312" w:cs="Times New Roman"/>
          <w:sz w:val="32"/>
          <w:szCs w:val="32"/>
        </w:rPr>
        <w:t>结果超过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4</w:t>
      </w:r>
      <w:r>
        <w:rPr>
          <w:rFonts w:hint="default" w:ascii="Times New Roman" w:hAnsi="Times New Roman" w:eastAsia="仿宋_GB2312" w:cs="Times New Roman"/>
          <w:sz w:val="32"/>
          <w:szCs w:val="32"/>
        </w:rPr>
        <w:t>CFU/</w:t>
      </w:r>
      <w:r>
        <w:rPr>
          <w:rFonts w:hint="eastAsia" w:ascii="Times New Roman" w:hAnsi="Times New Roman" w:eastAsia="仿宋_GB2312" w:cs="Times New Roman"/>
          <w:sz w:val="32"/>
          <w:szCs w:val="32"/>
          <w:lang w:val="en-US" w:eastAsia="zh-CN"/>
        </w:rPr>
        <w:t>g</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lang w:val="en-US" w:eastAsia="zh-CN"/>
        </w:rPr>
        <w:t>糕点、</w:t>
      </w:r>
      <w:r>
        <w:rPr>
          <w:rFonts w:hint="eastAsia" w:ascii="Times New Roman" w:hAnsi="Times New Roman" w:eastAsia="仿宋_GB2312" w:cs="Times New Roman"/>
          <w:sz w:val="32"/>
          <w:szCs w:val="32"/>
          <w:lang w:val="en-US" w:eastAsia="zh-CN"/>
        </w:rPr>
        <w:t>熏煮香肠火腿制品</w:t>
      </w:r>
      <w:r>
        <w:rPr>
          <w:rFonts w:hint="default" w:ascii="Times New Roman" w:hAnsi="Times New Roman" w:eastAsia="仿宋_GB2312" w:cs="Times New Roman"/>
          <w:sz w:val="32"/>
          <w:szCs w:val="32"/>
          <w:highlight w:val="none"/>
        </w:rPr>
        <w:t>中菌落总数超标的原因，可能是企业未按要求严格控制生产加工过程的卫生条件</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或者包装容器清洗消毒不到位</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也可能与产品包装密封不严或储运条件不当等有关。</w:t>
      </w:r>
    </w:p>
    <w:p>
      <w:pPr>
        <w:keepNext w:val="0"/>
        <w:keepLines w:val="0"/>
        <w:pageBreakBefore w:val="0"/>
        <w:kinsoku/>
        <w:wordWrap/>
        <w:overflowPunct/>
        <w:topLinePunct w:val="0"/>
        <w:autoSpaceDE/>
        <w:autoSpaceDN/>
        <w:bidi w:val="0"/>
        <w:spacing w:line="594" w:lineRule="exact"/>
        <w:ind w:firstLine="640" w:firstLineChars="200"/>
        <w:textAlignment w:val="auto"/>
        <w:rPr>
          <w:rFonts w:hint="default" w:ascii="Times New Roman" w:hAnsi="Times New Roman" w:eastAsia="黑体" w:cs="Times New Roman"/>
          <w:color w:val="auto"/>
          <w:spacing w:val="0"/>
          <w:sz w:val="32"/>
          <w:szCs w:val="32"/>
          <w:lang w:val="en-US" w:eastAsia="zh-CN"/>
        </w:rPr>
      </w:pPr>
      <w:r>
        <w:rPr>
          <w:rFonts w:hint="eastAsia" w:eastAsia="黑体"/>
          <w:spacing w:val="0"/>
          <w:sz w:val="32"/>
          <w:szCs w:val="32"/>
          <w:lang w:val="en-US" w:eastAsia="zh-CN"/>
        </w:rPr>
        <w:t>十八、</w:t>
      </w:r>
      <w:r>
        <w:rPr>
          <w:rFonts w:hint="default" w:ascii="Times New Roman" w:hAnsi="Times New Roman" w:eastAsia="黑体" w:cs="Times New Roman"/>
          <w:color w:val="auto"/>
          <w:spacing w:val="0"/>
          <w:sz w:val="32"/>
          <w:szCs w:val="32"/>
          <w:lang w:val="en-US" w:eastAsia="zh-CN"/>
        </w:rPr>
        <w:t>酸价（以脂肪计）（KOH）</w:t>
      </w:r>
    </w:p>
    <w:p>
      <w:pPr>
        <w:pStyle w:val="20"/>
        <w:adjustRightInd/>
        <w:spacing w:line="594" w:lineRule="exact"/>
        <w:ind w:firstLine="640" w:firstLineChars="200"/>
        <w:rPr>
          <w:rFonts w:hint="default" w:ascii="Times New Roman" w:hAnsi="Times New Roman" w:eastAsia="仿宋_GB2312" w:cs="Times New Roman"/>
          <w:kern w:val="0"/>
          <w:sz w:val="32"/>
          <w:szCs w:val="32"/>
        </w:rPr>
      </w:pPr>
      <w:r>
        <w:rPr>
          <w:rFonts w:hint="eastAsia" w:eastAsia="仿宋_GB2312"/>
          <w:sz w:val="32"/>
          <w:szCs w:val="32"/>
        </w:rPr>
        <w:t>酸价</w:t>
      </w:r>
      <w:r>
        <w:rPr>
          <w:rFonts w:hint="eastAsia" w:eastAsia="仿宋_GB2312"/>
          <w:sz w:val="32"/>
          <w:szCs w:val="32"/>
          <w:lang w:eastAsia="zh-CN"/>
        </w:rPr>
        <w:t>，</w:t>
      </w:r>
      <w:r>
        <w:rPr>
          <w:rFonts w:hint="eastAsia" w:eastAsia="仿宋_GB2312"/>
          <w:sz w:val="32"/>
          <w:szCs w:val="32"/>
          <w:lang w:val="en-US" w:eastAsia="zh-CN"/>
        </w:rPr>
        <w:t>又称酸值，</w:t>
      </w:r>
      <w:r>
        <w:rPr>
          <w:rFonts w:hint="eastAsia" w:eastAsia="仿宋_GB2312"/>
          <w:sz w:val="32"/>
          <w:szCs w:val="32"/>
        </w:rPr>
        <w:t>主要反映食品中油脂的酸败程度。酸价超标会导致食品有哈喇</w:t>
      </w:r>
      <w:r>
        <w:rPr>
          <w:rFonts w:hint="eastAsia" w:eastAsia="仿宋_GB2312"/>
          <w:sz w:val="32"/>
          <w:szCs w:val="32"/>
          <w:lang w:val="en-US" w:eastAsia="zh-CN"/>
        </w:rPr>
        <w:t>等异味</w:t>
      </w:r>
      <w:r>
        <w:rPr>
          <w:rFonts w:hint="eastAsia" w:eastAsia="仿宋_GB2312"/>
          <w:sz w:val="32"/>
          <w:szCs w:val="32"/>
        </w:rPr>
        <w:t>，</w:t>
      </w:r>
      <w:r>
        <w:rPr>
          <w:rFonts w:hint="eastAsia" w:eastAsia="仿宋_GB2312"/>
          <w:sz w:val="32"/>
          <w:szCs w:val="32"/>
          <w:lang w:val="en-US" w:eastAsia="zh-CN"/>
        </w:rPr>
        <w:t>严重超标时会</w:t>
      </w:r>
      <w:r>
        <w:rPr>
          <w:rFonts w:hint="eastAsia" w:eastAsia="仿宋_GB2312"/>
          <w:sz w:val="32"/>
          <w:szCs w:val="32"/>
        </w:rPr>
        <w:t>产生醛酮类化合物</w:t>
      </w:r>
      <w:r>
        <w:rPr>
          <w:rFonts w:hint="eastAsia" w:eastAsia="仿宋_GB2312"/>
          <w:sz w:val="32"/>
          <w:szCs w:val="32"/>
          <w:lang w:eastAsia="zh-CN"/>
        </w:rPr>
        <w:t>，</w:t>
      </w:r>
      <w:r>
        <w:rPr>
          <w:rFonts w:hint="eastAsia" w:eastAsia="仿宋_GB2312"/>
          <w:sz w:val="32"/>
          <w:szCs w:val="32"/>
        </w:rPr>
        <w:t>长期摄入</w:t>
      </w:r>
      <w:r>
        <w:rPr>
          <w:rFonts w:hint="eastAsia" w:eastAsia="仿宋_GB2312"/>
          <w:sz w:val="32"/>
          <w:szCs w:val="32"/>
          <w:lang w:val="en-US" w:eastAsia="zh-CN"/>
        </w:rPr>
        <w:t>酸价超标的食品</w:t>
      </w:r>
      <w:r>
        <w:rPr>
          <w:rFonts w:hint="eastAsia" w:eastAsia="仿宋_GB2312"/>
          <w:sz w:val="32"/>
          <w:szCs w:val="32"/>
        </w:rPr>
        <w:t>会对健康有一定影响。</w:t>
      </w:r>
      <w:r>
        <w:rPr>
          <w:rFonts w:hint="eastAsia" w:ascii="Times New Roman" w:hAnsi="Times New Roman" w:eastAsia="仿宋_GB2312" w:cs="Times New Roman"/>
          <w:color w:val="auto"/>
          <w:sz w:val="32"/>
          <w:szCs w:val="32"/>
          <w:highlight w:val="none"/>
          <w:lang w:val="en-US" w:eastAsia="zh-CN"/>
        </w:rPr>
        <w:t>《食品安全国家标准 糕点、面包》（GB 7099—2015）</w:t>
      </w:r>
      <w:r>
        <w:rPr>
          <w:rFonts w:hint="default" w:ascii="Times New Roman" w:hAnsi="Times New Roman" w:eastAsia="仿宋_GB2312" w:cs="Times New Roman"/>
          <w:sz w:val="32"/>
          <w:szCs w:val="32"/>
        </w:rPr>
        <w:t>中规定，</w:t>
      </w:r>
      <w:r>
        <w:rPr>
          <w:rFonts w:hint="eastAsia" w:ascii="Times New Roman" w:hAnsi="Times New Roman" w:eastAsia="仿宋_GB2312" w:cs="Times New Roman"/>
          <w:sz w:val="32"/>
          <w:szCs w:val="32"/>
          <w:highlight w:val="none"/>
          <w:lang w:val="en-US" w:eastAsia="zh-CN"/>
        </w:rPr>
        <w:t>糕点</w:t>
      </w:r>
      <w:r>
        <w:rPr>
          <w:rFonts w:hint="default" w:ascii="Times New Roman" w:hAnsi="Times New Roman" w:eastAsia="仿宋_GB2312" w:cs="Times New Roman"/>
          <w:sz w:val="32"/>
          <w:szCs w:val="32"/>
        </w:rPr>
        <w:t>中酸价</w:t>
      </w:r>
      <w:r>
        <w:rPr>
          <w:rFonts w:ascii="Times New Roman" w:hAnsi="Times New Roman" w:eastAsia="仿宋_GB2312" w:cs="Times New Roman"/>
          <w:sz w:val="32"/>
          <w:szCs w:val="32"/>
        </w:rPr>
        <w:t>（以脂肪计）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KOH</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的最大限量值为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mg</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g</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highlight w:val="none"/>
          <w:lang w:val="en-US" w:eastAsia="zh-CN"/>
        </w:rPr>
        <w:t>糕点</w:t>
      </w:r>
      <w:r>
        <w:rPr>
          <w:rFonts w:hint="default" w:ascii="Times New Roman" w:hAnsi="Times New Roman" w:eastAsia="仿宋_GB2312" w:cs="Times New Roman"/>
          <w:sz w:val="32"/>
          <w:szCs w:val="32"/>
        </w:rPr>
        <w:t>中</w:t>
      </w:r>
      <w:r>
        <w:rPr>
          <w:rFonts w:hint="eastAsia" w:eastAsia="仿宋_GB2312"/>
          <w:sz w:val="32"/>
          <w:szCs w:val="32"/>
        </w:rPr>
        <w:t>酸价</w:t>
      </w:r>
      <w:r>
        <w:rPr>
          <w:rFonts w:ascii="Times New Roman" w:hAnsi="Times New Roman" w:eastAsia="仿宋_GB2312" w:cs="Times New Roman"/>
          <w:sz w:val="32"/>
          <w:szCs w:val="32"/>
        </w:rPr>
        <w:t>（以脂肪计）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KOH</w:t>
      </w:r>
      <w:r>
        <w:rPr>
          <w:rFonts w:hint="eastAsia" w:ascii="Times New Roman" w:hAnsi="Times New Roman" w:eastAsia="仿宋_GB2312" w:cs="Times New Roman"/>
          <w:sz w:val="32"/>
          <w:szCs w:val="32"/>
          <w:lang w:eastAsia="zh-CN"/>
        </w:rPr>
        <w:t>）</w:t>
      </w:r>
      <w:r>
        <w:rPr>
          <w:rFonts w:hint="eastAsia" w:eastAsia="仿宋_GB2312"/>
          <w:sz w:val="32"/>
          <w:szCs w:val="32"/>
          <w:lang w:val="en-US" w:eastAsia="zh-CN"/>
        </w:rPr>
        <w:t>检</w:t>
      </w:r>
      <w:r>
        <w:rPr>
          <w:rFonts w:hint="eastAsia" w:ascii="Times New Roman" w:hAnsi="Times New Roman" w:eastAsia="仿宋_GB2312" w:cs="Times New Roman"/>
          <w:color w:val="auto"/>
          <w:sz w:val="32"/>
          <w:szCs w:val="32"/>
          <w:lang w:val="en-US" w:eastAsia="zh-CN"/>
        </w:rPr>
        <w:t>验</w:t>
      </w:r>
      <w:r>
        <w:rPr>
          <w:rFonts w:hint="eastAsia" w:eastAsia="仿宋_GB2312"/>
          <w:sz w:val="32"/>
          <w:szCs w:val="32"/>
          <w:lang w:val="en-US" w:eastAsia="zh-CN"/>
        </w:rPr>
        <w:t>值</w:t>
      </w:r>
      <w:r>
        <w:rPr>
          <w:rFonts w:hint="eastAsia" w:eastAsia="仿宋_GB2312"/>
          <w:sz w:val="32"/>
          <w:szCs w:val="32"/>
        </w:rPr>
        <w:t>超标的原因，可能是企业原料采购把关不严</w:t>
      </w:r>
      <w:r>
        <w:rPr>
          <w:rFonts w:hint="eastAsia" w:eastAsia="仿宋_GB2312"/>
          <w:sz w:val="32"/>
          <w:szCs w:val="32"/>
          <w:lang w:eastAsia="zh-CN"/>
        </w:rPr>
        <w:t>；</w:t>
      </w:r>
      <w:r>
        <w:rPr>
          <w:rFonts w:hint="eastAsia" w:eastAsia="仿宋_GB2312"/>
          <w:sz w:val="32"/>
          <w:szCs w:val="32"/>
        </w:rPr>
        <w:t>也可能是生产工艺不达标</w:t>
      </w:r>
      <w:r>
        <w:rPr>
          <w:rFonts w:hint="eastAsia" w:eastAsia="仿宋_GB2312"/>
          <w:sz w:val="32"/>
          <w:szCs w:val="32"/>
          <w:lang w:eastAsia="zh-CN"/>
        </w:rPr>
        <w:t>；</w:t>
      </w:r>
      <w:r>
        <w:rPr>
          <w:rFonts w:hint="eastAsia" w:eastAsia="仿宋_GB2312"/>
          <w:sz w:val="32"/>
          <w:szCs w:val="32"/>
        </w:rPr>
        <w:t>还可能与产品储藏条件不当有关。</w:t>
      </w:r>
    </w:p>
    <w:p>
      <w:pPr>
        <w:spacing w:line="594" w:lineRule="exact"/>
        <w:ind w:firstLine="640" w:firstLineChars="200"/>
        <w:jc w:val="both"/>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pacing w:val="0"/>
          <w:sz w:val="32"/>
          <w:szCs w:val="32"/>
          <w:lang w:val="en-US" w:eastAsia="zh-CN"/>
        </w:rPr>
        <w:t>十九、</w:t>
      </w:r>
      <w:r>
        <w:rPr>
          <w:rFonts w:hint="default" w:ascii="Times New Roman" w:hAnsi="Times New Roman" w:eastAsia="黑体" w:cs="Times New Roman"/>
          <w:spacing w:val="0"/>
          <w:sz w:val="32"/>
          <w:szCs w:val="32"/>
          <w:lang w:val="en-US" w:eastAsia="zh-CN"/>
        </w:rPr>
        <w:t>溴酸盐</w:t>
      </w:r>
    </w:p>
    <w:p>
      <w:pPr>
        <w:pStyle w:val="9"/>
        <w:spacing w:after="0" w:line="594" w:lineRule="exact"/>
        <w:ind w:firstLine="640" w:firstLineChars="200"/>
        <w:rPr>
          <w:rFonts w:hint="eastAsia" w:ascii="黑体" w:hAnsi="黑体" w:eastAsia="黑体" w:cs="黑体"/>
          <w:color w:val="auto"/>
          <w:spacing w:val="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溴酸盐一般在水中不存在，当水源水含有溴化物，并经臭氧消毒时，可产生无机消毒副产物溴酸盐，它是矿泉水及山泉水等多种天然水源在经过臭氧消毒后所产生的副产物。《食品安全国家标准 包装饮用水》（GB 19298</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2014）中规定，包装饮用水中溴酸盐</w:t>
      </w:r>
      <w:r>
        <w:rPr>
          <w:rFonts w:hint="eastAsia" w:ascii="Times New Roman" w:hAnsi="Times New Roman" w:eastAsia="仿宋_GB2312" w:cs="Times New Roman"/>
          <w:b w:val="0"/>
          <w:bCs w:val="0"/>
          <w:color w:val="000000"/>
          <w:sz w:val="32"/>
          <w:szCs w:val="32"/>
          <w:highlight w:val="none"/>
          <w:lang w:val="en-US" w:eastAsia="zh-CN"/>
        </w:rPr>
        <w:t>的限量值应≤</w:t>
      </w:r>
      <w:r>
        <w:rPr>
          <w:rFonts w:hint="default" w:ascii="Times New Roman" w:hAnsi="Times New Roman" w:eastAsia="仿宋_GB2312" w:cs="Times New Roman"/>
          <w:b w:val="0"/>
          <w:bCs w:val="0"/>
          <w:color w:val="000000"/>
          <w:sz w:val="32"/>
          <w:szCs w:val="32"/>
          <w:highlight w:val="none"/>
          <w:lang w:val="en-US" w:eastAsia="zh-CN"/>
        </w:rPr>
        <w:t>0.01mg/L。其他类饮用水中溴酸盐检验值超标的原因，可能是由于臭氧消毒杀菌工艺设置不当导致消毒副产物溴酸盐含量超标。</w:t>
      </w:r>
    </w:p>
    <w:p>
      <w:pPr>
        <w:spacing w:line="594" w:lineRule="exact"/>
        <w:ind w:firstLine="640" w:firstLineChars="200"/>
        <w:rPr>
          <w:rFonts w:hint="eastAsia" w:ascii="Times New Roman" w:hAnsi="Times New Roman" w:eastAsia="黑体" w:cs="Times New Roman"/>
          <w:color w:val="auto"/>
          <w:sz w:val="32"/>
          <w:szCs w:val="32"/>
          <w:highlight w:val="none"/>
          <w:lang w:val="en-US" w:eastAsia="zh-CN"/>
        </w:rPr>
      </w:pPr>
      <w:r>
        <w:rPr>
          <w:rFonts w:hint="eastAsia" w:ascii="黑体" w:hAnsi="黑体" w:eastAsia="黑体" w:cs="黑体"/>
          <w:color w:val="auto"/>
          <w:spacing w:val="0"/>
          <w:sz w:val="32"/>
          <w:szCs w:val="32"/>
          <w:highlight w:val="none"/>
          <w:lang w:val="en-US" w:eastAsia="zh-CN"/>
        </w:rPr>
        <w:t>二十、</w:t>
      </w:r>
      <w:r>
        <w:rPr>
          <w:rFonts w:hint="eastAsia" w:ascii="Times New Roman" w:hAnsi="Times New Roman" w:eastAsia="黑体" w:cs="Times New Roman"/>
          <w:color w:val="auto"/>
          <w:kern w:val="2"/>
          <w:sz w:val="32"/>
          <w:szCs w:val="32"/>
          <w:highlight w:val="none"/>
          <w:lang w:val="en-US" w:eastAsia="zh-CN" w:bidi="ar-SA"/>
        </w:rPr>
        <w:t>铅</w:t>
      </w:r>
      <w:r>
        <w:rPr>
          <w:rFonts w:hint="eastAsia" w:ascii="Times New Roman" w:hAnsi="Times New Roman" w:eastAsia="黑体" w:cs="Times New Roman"/>
          <w:color w:val="auto"/>
          <w:sz w:val="32"/>
          <w:szCs w:val="32"/>
          <w:highlight w:val="none"/>
          <w:lang w:val="en-US" w:eastAsia="zh-CN"/>
        </w:rPr>
        <w:t>（以</w:t>
      </w:r>
      <w:r>
        <w:rPr>
          <w:rFonts w:hint="eastAsia" w:ascii="黑体" w:hAnsi="黑体" w:eastAsia="黑体" w:cs="Times New Roman"/>
          <w:sz w:val="32"/>
          <w:szCs w:val="32"/>
          <w:highlight w:val="none"/>
        </w:rPr>
        <w:t>Pb</w:t>
      </w:r>
      <w:r>
        <w:rPr>
          <w:rFonts w:hint="eastAsia" w:ascii="Times New Roman" w:hAnsi="Times New Roman" w:eastAsia="黑体" w:cs="Times New Roman"/>
          <w:color w:val="auto"/>
          <w:sz w:val="32"/>
          <w:szCs w:val="32"/>
          <w:highlight w:val="none"/>
          <w:lang w:val="en-US" w:eastAsia="zh-CN"/>
        </w:rPr>
        <w:t>计）</w:t>
      </w:r>
    </w:p>
    <w:p>
      <w:pPr>
        <w:pStyle w:val="20"/>
        <w:spacing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rPr>
        <w:t>铅是常见的重金属污染物，是蓄积性的重金属</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当人体中铅含量达到一定程度时，会引发身体的不适</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长期摄入铅会对机体的血液系统、神经系统产生损害。</w:t>
      </w:r>
      <w:r>
        <w:rPr>
          <w:rFonts w:hint="default" w:ascii="Times New Roman" w:hAnsi="Times New Roman" w:eastAsia="仿宋_GB2312" w:cs="Times New Roman"/>
          <w:spacing w:val="0"/>
          <w:sz w:val="32"/>
          <w:szCs w:val="32"/>
          <w:highlight w:val="none"/>
          <w:lang w:val="en-US" w:eastAsia="zh-CN"/>
        </w:rPr>
        <w:t>《食品安全国家标准 食品</w:t>
      </w:r>
      <w:r>
        <w:rPr>
          <w:rFonts w:hint="eastAsia" w:ascii="Times New Roman" w:hAnsi="Times New Roman" w:eastAsia="仿宋_GB2312" w:cs="Times New Roman"/>
          <w:spacing w:val="0"/>
          <w:sz w:val="32"/>
          <w:szCs w:val="32"/>
          <w:highlight w:val="none"/>
          <w:lang w:val="en-US" w:eastAsia="zh-CN"/>
        </w:rPr>
        <w:t>中污染物限量</w:t>
      </w:r>
      <w:r>
        <w:rPr>
          <w:rFonts w:hint="default" w:ascii="Times New Roman" w:hAnsi="Times New Roman" w:eastAsia="仿宋_GB2312" w:cs="Times New Roman"/>
          <w:spacing w:val="0"/>
          <w:sz w:val="32"/>
          <w:szCs w:val="32"/>
          <w:highlight w:val="none"/>
          <w:lang w:val="en-US" w:eastAsia="zh-CN"/>
        </w:rPr>
        <w:t>》（GB 276</w:t>
      </w:r>
      <w:r>
        <w:rPr>
          <w:rFonts w:hint="eastAsia" w:ascii="Times New Roman" w:hAnsi="Times New Roman" w:eastAsia="仿宋_GB2312" w:cs="Times New Roman"/>
          <w:spacing w:val="0"/>
          <w:sz w:val="32"/>
          <w:szCs w:val="32"/>
          <w:highlight w:val="none"/>
          <w:lang w:val="en-US" w:eastAsia="zh-CN"/>
        </w:rPr>
        <w:t>2—</w:t>
      </w:r>
      <w:r>
        <w:rPr>
          <w:rFonts w:hint="default" w:ascii="Times New Roman" w:hAnsi="Times New Roman" w:eastAsia="仿宋_GB2312" w:cs="Times New Roman"/>
          <w:spacing w:val="0"/>
          <w:sz w:val="32"/>
          <w:szCs w:val="32"/>
          <w:highlight w:val="none"/>
          <w:lang w:val="en-US" w:eastAsia="zh-CN"/>
        </w:rPr>
        <w:t>20</w:t>
      </w:r>
      <w:r>
        <w:rPr>
          <w:rFonts w:hint="eastAsia" w:ascii="Times New Roman" w:hAnsi="Times New Roman" w:eastAsia="仿宋_GB2312" w:cs="Times New Roman"/>
          <w:spacing w:val="0"/>
          <w:sz w:val="32"/>
          <w:szCs w:val="32"/>
          <w:highlight w:val="none"/>
          <w:lang w:val="en-US" w:eastAsia="zh-CN"/>
        </w:rPr>
        <w:t>22</w:t>
      </w:r>
      <w:r>
        <w:rPr>
          <w:rFonts w:hint="default" w:ascii="Times New Roman" w:hAnsi="Times New Roman" w:eastAsia="仿宋_GB2312" w:cs="Times New Roman"/>
          <w:spacing w:val="0"/>
          <w:sz w:val="32"/>
          <w:szCs w:val="32"/>
          <w:highlight w:val="none"/>
          <w:lang w:val="en-US" w:eastAsia="zh-CN"/>
        </w:rPr>
        <w:t>）中规定，</w:t>
      </w:r>
      <w:r>
        <w:rPr>
          <w:rFonts w:hint="eastAsia" w:ascii="Times New Roman" w:hAnsi="Times New Roman" w:eastAsia="仿宋_GB2312" w:cs="Times New Roman"/>
          <w:spacing w:val="0"/>
          <w:sz w:val="32"/>
          <w:szCs w:val="32"/>
          <w:highlight w:val="none"/>
          <w:lang w:val="en-US" w:eastAsia="zh-CN"/>
        </w:rPr>
        <w:t>酱腌菜中</w:t>
      </w:r>
      <w:r>
        <w:rPr>
          <w:rFonts w:hint="default" w:ascii="Times New Roman" w:hAnsi="Times New Roman" w:eastAsia="仿宋_GB2312" w:cs="Times New Roman"/>
          <w:sz w:val="32"/>
          <w:szCs w:val="32"/>
          <w:highlight w:val="none"/>
        </w:rPr>
        <w:t>铅（以Pb计）的限量值为</w:t>
      </w:r>
      <w:r>
        <w:rPr>
          <w:rFonts w:hint="eastAsia" w:ascii="Times New Roman" w:hAnsi="Times New Roman" w:eastAsia="仿宋_GB2312" w:cs="Times New Roman"/>
          <w:sz w:val="32"/>
          <w:szCs w:val="32"/>
          <w:highlight w:val="none"/>
          <w:lang w:val="en-US" w:eastAsia="zh-CN"/>
        </w:rPr>
        <w:t>≤0.5</w:t>
      </w:r>
      <w:r>
        <w:rPr>
          <w:rFonts w:hint="default" w:ascii="Times New Roman" w:hAnsi="Times New Roman" w:eastAsia="仿宋_GB2312" w:cs="Times New Roman"/>
          <w:sz w:val="32"/>
          <w:szCs w:val="32"/>
          <w:highlight w:val="none"/>
        </w:rPr>
        <w:t>mg/kg</w:t>
      </w:r>
      <w:r>
        <w:rPr>
          <w:rFonts w:hint="eastAsia" w:ascii="Times New Roman" w:hAnsi="Times New Roman" w:eastAsia="仿宋_GB2312" w:cs="Times New Roman"/>
          <w:spacing w:val="0"/>
          <w:sz w:val="32"/>
          <w:szCs w:val="32"/>
          <w:highlight w:val="none"/>
          <w:lang w:val="en-US" w:eastAsia="zh-CN"/>
        </w:rPr>
        <w:t>，蜜饯中铅（以Pb计）的最大限量值为0.8mg/kg，八角粉中铅（以Pb计）的限量值为≤1.5mg/kg；企业标准《香辛料调味品》（Q/QHPS 0001S—2024）中规定，八角粉中铅（以Pb计）的限量值为＜1.5mg/kg。酱腌菜、蜜饯、八角粉中</w:t>
      </w:r>
      <w:r>
        <w:rPr>
          <w:rFonts w:hint="default" w:ascii="Times New Roman" w:hAnsi="Times New Roman" w:eastAsia="仿宋_GB2312" w:cs="Times New Roman"/>
          <w:sz w:val="32"/>
          <w:szCs w:val="32"/>
          <w:highlight w:val="none"/>
        </w:rPr>
        <w:t>铅</w:t>
      </w:r>
      <w:r>
        <w:rPr>
          <w:rFonts w:hint="default" w:ascii="Times New Roman" w:hAnsi="Times New Roman" w:eastAsia="仿宋_GB2312" w:cs="Times New Roman"/>
          <w:sz w:val="32"/>
          <w:szCs w:val="32"/>
          <w:highlight w:val="none"/>
          <w:lang w:val="en-US" w:eastAsia="zh-CN"/>
        </w:rPr>
        <w:t>（以Pb计）检验值超标</w:t>
      </w:r>
      <w:r>
        <w:rPr>
          <w:rFonts w:hint="eastAsia" w:ascii="Times New Roman" w:hAnsi="Times New Roman" w:eastAsia="仿宋_GB2312" w:cs="Times New Roman"/>
          <w:sz w:val="32"/>
          <w:szCs w:val="32"/>
          <w:highlight w:val="none"/>
          <w:lang w:val="en-US" w:eastAsia="zh-CN"/>
        </w:rPr>
        <w:t>的原因</w:t>
      </w:r>
      <w:r>
        <w:rPr>
          <w:rFonts w:hint="default" w:ascii="Times New Roman" w:hAnsi="Times New Roman" w:eastAsia="仿宋_GB2312" w:cs="Times New Roman"/>
          <w:spacing w:val="0"/>
          <w:sz w:val="32"/>
          <w:szCs w:val="32"/>
          <w:highlight w:val="none"/>
          <w:lang w:val="en-US" w:eastAsia="zh-CN"/>
        </w:rPr>
        <w:t>，</w:t>
      </w:r>
      <w:r>
        <w:rPr>
          <w:rFonts w:hint="default" w:ascii="Times New Roman" w:hAnsi="Times New Roman" w:eastAsia="仿宋_GB2312" w:cs="Times New Roman"/>
          <w:sz w:val="32"/>
          <w:szCs w:val="32"/>
          <w:highlight w:val="none"/>
        </w:rPr>
        <w:t>可能是生产企业使用的原料中铅含量</w:t>
      </w:r>
      <w:r>
        <w:rPr>
          <w:rFonts w:hint="eastAsia" w:ascii="Times New Roman" w:hAnsi="Times New Roman" w:eastAsia="仿宋_GB2312" w:cs="Times New Roman"/>
          <w:sz w:val="32"/>
          <w:szCs w:val="32"/>
          <w:highlight w:val="none"/>
          <w:lang w:val="en-US" w:eastAsia="zh-CN"/>
        </w:rPr>
        <w:t>较高</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也可能是生产设备或包装材料中的铅迁移带入。</w:t>
      </w:r>
    </w:p>
    <w:p>
      <w:pPr>
        <w:spacing w:line="594" w:lineRule="exact"/>
        <w:ind w:firstLine="640" w:firstLineChars="200"/>
        <w:jc w:val="left"/>
        <w:rPr>
          <w:rFonts w:hint="eastAsia" w:ascii="黑体" w:hAnsi="黑体" w:eastAsia="黑体" w:cs="黑体"/>
          <w:color w:val="auto"/>
          <w:spacing w:val="0"/>
          <w:sz w:val="32"/>
          <w:szCs w:val="32"/>
          <w:highlight w:val="none"/>
          <w:lang w:val="en-US" w:eastAsia="zh-CN"/>
        </w:rPr>
      </w:pPr>
      <w:r>
        <w:rPr>
          <w:rFonts w:hint="eastAsia" w:ascii="黑体" w:hAnsi="黑体" w:eastAsia="黑体" w:cs="黑体"/>
          <w:color w:val="auto"/>
          <w:spacing w:val="0"/>
          <w:sz w:val="32"/>
          <w:szCs w:val="32"/>
          <w:highlight w:val="none"/>
          <w:lang w:val="en-US" w:eastAsia="zh-CN"/>
        </w:rPr>
        <w:t>二十一、三氯甲烷</w:t>
      </w:r>
    </w:p>
    <w:p>
      <w:pPr>
        <w:keepNext w:val="0"/>
        <w:keepLines w:val="0"/>
        <w:pageBreakBefore w:val="0"/>
        <w:numPr>
          <w:ilvl w:val="-1"/>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仿宋_GB2312" w:cs="Times New Roman"/>
          <w:sz w:val="32"/>
          <w:szCs w:val="32"/>
          <w:highlight w:val="none"/>
          <w:lang w:val="en-US" w:eastAsia="zh-CN"/>
        </w:rPr>
        <w:t>三氯甲烷是氯化消毒副产物，属于挥发性卤代有机物，当水源中存在有机前体物时，加氯消毒可形成三卤甲烷类物质，其中三氯甲烷含量最高。三氯甲烷对生殖和生长发育有影响。《食品安全国家标准 包装饮用水》（GB 19298</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2014）</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规定，包装饮用水中三氯甲烷</w:t>
      </w:r>
      <w:r>
        <w:rPr>
          <w:rFonts w:hint="eastAsia" w:ascii="Times New Roman" w:hAnsi="Times New Roman" w:eastAsia="仿宋_GB2312" w:cs="Times New Roman"/>
          <w:b w:val="0"/>
          <w:bCs w:val="0"/>
          <w:color w:val="000000"/>
          <w:sz w:val="32"/>
          <w:szCs w:val="32"/>
          <w:highlight w:val="none"/>
          <w:lang w:val="en-US" w:eastAsia="zh-CN"/>
        </w:rPr>
        <w:t>的限量值</w:t>
      </w:r>
      <w:r>
        <w:rPr>
          <w:rFonts w:hint="default" w:ascii="Times New Roman" w:hAnsi="Times New Roman" w:eastAsia="仿宋_GB2312" w:cs="Times New Roman"/>
          <w:sz w:val="32"/>
          <w:szCs w:val="32"/>
          <w:highlight w:val="none"/>
          <w:lang w:val="en-US" w:eastAsia="zh-CN"/>
        </w:rPr>
        <w:t>应</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0.02mg/L。包装饮用水中三氯甲烷</w:t>
      </w:r>
      <w:r>
        <w:rPr>
          <w:rFonts w:hint="eastAsia" w:ascii="Times New Roman" w:hAnsi="Times New Roman" w:eastAsia="仿宋_GB2312" w:cs="Times New Roman"/>
          <w:sz w:val="32"/>
          <w:szCs w:val="32"/>
          <w:highlight w:val="none"/>
          <w:lang w:val="en-US" w:eastAsia="zh-CN"/>
        </w:rPr>
        <w:t>检验值</w:t>
      </w:r>
      <w:r>
        <w:rPr>
          <w:rFonts w:hint="default" w:ascii="Times New Roman" w:hAnsi="Times New Roman" w:eastAsia="仿宋_GB2312" w:cs="Times New Roman"/>
          <w:sz w:val="32"/>
          <w:szCs w:val="32"/>
          <w:highlight w:val="none"/>
          <w:lang w:val="en-US" w:eastAsia="zh-CN"/>
        </w:rPr>
        <w:t>超标</w:t>
      </w:r>
      <w:r>
        <w:rPr>
          <w:rFonts w:hint="eastAsia" w:ascii="Times New Roman" w:hAnsi="Times New Roman" w:eastAsia="仿宋_GB2312" w:cs="Times New Roman"/>
          <w:sz w:val="32"/>
          <w:szCs w:val="32"/>
          <w:highlight w:val="none"/>
          <w:lang w:val="en-US" w:eastAsia="zh-CN"/>
        </w:rPr>
        <w:t>的原因，</w:t>
      </w:r>
      <w:r>
        <w:rPr>
          <w:rFonts w:hint="default" w:ascii="Times New Roman" w:hAnsi="Times New Roman" w:eastAsia="仿宋_GB2312" w:cs="Times New Roman"/>
          <w:sz w:val="32"/>
          <w:szCs w:val="32"/>
          <w:highlight w:val="none"/>
          <w:lang w:val="en-US" w:eastAsia="zh-CN"/>
        </w:rPr>
        <w:t>可能是因为水源受到污染</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也可能是氯化消毒工艺对加氯量、溴离子浓度及pH等因素控制不当造成。</w:t>
      </w:r>
    </w:p>
    <w:p>
      <w:pPr>
        <w:spacing w:line="594" w:lineRule="exact"/>
        <w:ind w:firstLine="640" w:firstLineChars="200"/>
        <w:jc w:val="both"/>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pacing w:val="0"/>
          <w:sz w:val="32"/>
          <w:szCs w:val="32"/>
          <w:highlight w:val="none"/>
          <w:lang w:val="en-US" w:eastAsia="zh-CN"/>
        </w:rPr>
        <w:t>二十二</w:t>
      </w:r>
      <w:r>
        <w:rPr>
          <w:rFonts w:hint="default" w:ascii="Times New Roman" w:hAnsi="Times New Roman" w:eastAsia="黑体" w:cs="Times New Roman"/>
          <w:color w:val="auto"/>
          <w:spacing w:val="0"/>
          <w:sz w:val="32"/>
          <w:szCs w:val="32"/>
          <w:highlight w:val="none"/>
        </w:rPr>
        <w:t>、</w:t>
      </w:r>
      <w:r>
        <w:rPr>
          <w:rFonts w:hint="default" w:ascii="Times New Roman" w:hAnsi="Times New Roman" w:eastAsia="黑体" w:cs="Times New Roman"/>
          <w:spacing w:val="0"/>
          <w:sz w:val="32"/>
          <w:szCs w:val="32"/>
          <w:lang w:val="en-US" w:eastAsia="zh-CN"/>
        </w:rPr>
        <w:t>耗氧量</w:t>
      </w:r>
      <w:r>
        <w:rPr>
          <w:rFonts w:hint="eastAsia" w:ascii="Times New Roman" w:hAnsi="Times New Roman" w:eastAsia="黑体" w:cs="Times New Roman"/>
          <w:spacing w:val="0"/>
          <w:sz w:val="32"/>
          <w:szCs w:val="32"/>
          <w:lang w:val="en-US" w:eastAsia="zh-CN"/>
        </w:rPr>
        <w:t>（</w:t>
      </w:r>
      <w:r>
        <w:rPr>
          <w:rFonts w:hint="default" w:ascii="Times New Roman" w:hAnsi="Times New Roman" w:eastAsia="黑体" w:cs="Times New Roman"/>
          <w:spacing w:val="0"/>
          <w:sz w:val="32"/>
          <w:szCs w:val="32"/>
          <w:lang w:val="en-US" w:eastAsia="zh-CN"/>
        </w:rPr>
        <w:t>以O</w:t>
      </w:r>
      <w:r>
        <w:rPr>
          <w:rFonts w:hint="default" w:ascii="Times New Roman" w:hAnsi="Times New Roman" w:eastAsia="黑体" w:cs="Times New Roman"/>
          <w:spacing w:val="0"/>
          <w:sz w:val="32"/>
          <w:szCs w:val="32"/>
          <w:vertAlign w:val="subscript"/>
          <w:lang w:val="en-US" w:eastAsia="zh-CN"/>
        </w:rPr>
        <w:t>2</w:t>
      </w:r>
      <w:r>
        <w:rPr>
          <w:rFonts w:hint="default" w:ascii="Times New Roman" w:hAnsi="Times New Roman" w:eastAsia="黑体" w:cs="Times New Roman"/>
          <w:spacing w:val="0"/>
          <w:sz w:val="32"/>
          <w:szCs w:val="32"/>
          <w:lang w:val="en-US" w:eastAsia="zh-CN"/>
        </w:rPr>
        <w:t>计</w:t>
      </w:r>
      <w:r>
        <w:rPr>
          <w:rFonts w:hint="eastAsia" w:ascii="Times New Roman" w:hAnsi="Times New Roman" w:eastAsia="黑体" w:cs="Times New Roman"/>
          <w:spacing w:val="0"/>
          <w:sz w:val="32"/>
          <w:szCs w:val="32"/>
          <w:lang w:val="en-US" w:eastAsia="zh-CN"/>
        </w:rPr>
        <w:t>）</w:t>
      </w:r>
    </w:p>
    <w:p>
      <w:pPr>
        <w:pStyle w:val="9"/>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耗氧量（以O</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lang w:val="en-US" w:eastAsia="zh-CN"/>
        </w:rPr>
        <w:t>计）为每升水在一定条件下被氧化剂氧化时消耗的氧化剂量，折算为氧的毫克数表示还原性物质。水中还原性物质主要是有机物，如碳水化合物、蛋白质、油脂、氨基酸，脂肪酸、酯类和腐殖质等。耗氧量是用来间接评价水体受有机物污染状况的综合指标之一，是包装饮用水质量的重要理化指标，当水体被有机物污染后耗氧量会增加。《食品安全国家标准 包装饮用水》（GB 19298</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2014）规定，包装饮用水中耗氧量（以O</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lang w:val="en-US" w:eastAsia="zh-CN"/>
        </w:rPr>
        <w:t>计）</w:t>
      </w:r>
      <w:r>
        <w:rPr>
          <w:rFonts w:hint="eastAsia" w:ascii="Times New Roman" w:hAnsi="Times New Roman" w:eastAsia="仿宋_GB2312" w:cs="Times New Roman"/>
          <w:sz w:val="32"/>
          <w:szCs w:val="32"/>
          <w:highlight w:val="none"/>
          <w:lang w:val="en-US" w:eastAsia="zh-CN"/>
        </w:rPr>
        <w:t>的限量值应</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2.0mg/L。其他类饮用水</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耗氧量（以O</w:t>
      </w:r>
      <w:r>
        <w:rPr>
          <w:rFonts w:hint="default" w:ascii="Times New Roman" w:hAnsi="Times New Roman" w:eastAsia="仿宋_GB2312" w:cs="Times New Roman"/>
          <w:sz w:val="32"/>
          <w:szCs w:val="32"/>
          <w:highlight w:val="none"/>
          <w:vertAlign w:val="subscript"/>
          <w:lang w:val="en-US" w:eastAsia="zh-CN"/>
        </w:rPr>
        <w:t>2</w:t>
      </w:r>
      <w:r>
        <w:rPr>
          <w:rFonts w:hint="default" w:ascii="Times New Roman" w:hAnsi="Times New Roman" w:eastAsia="仿宋_GB2312" w:cs="Times New Roman"/>
          <w:sz w:val="32"/>
          <w:szCs w:val="32"/>
          <w:highlight w:val="none"/>
          <w:lang w:val="en-US" w:eastAsia="zh-CN"/>
        </w:rPr>
        <w:t>计）</w:t>
      </w:r>
      <w:r>
        <w:rPr>
          <w:rFonts w:hint="eastAsia" w:ascii="Times New Roman" w:hAnsi="Times New Roman" w:eastAsia="仿宋_GB2312" w:cs="Times New Roman"/>
          <w:sz w:val="32"/>
          <w:szCs w:val="32"/>
          <w:highlight w:val="none"/>
          <w:lang w:val="en-US" w:eastAsia="zh-CN"/>
        </w:rPr>
        <w:t>检验值</w:t>
      </w:r>
      <w:r>
        <w:rPr>
          <w:rFonts w:hint="default" w:ascii="Times New Roman" w:hAnsi="Times New Roman" w:eastAsia="仿宋_GB2312" w:cs="Times New Roman"/>
          <w:sz w:val="32"/>
          <w:szCs w:val="32"/>
          <w:highlight w:val="none"/>
          <w:lang w:val="en-US" w:eastAsia="zh-CN"/>
        </w:rPr>
        <w:t>超标的原因</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可能是原水受到有机物的污染</w:t>
      </w:r>
      <w:r>
        <w:rPr>
          <w:rFonts w:hint="eastAsia" w:ascii="Times New Roman" w:hAnsi="Times New Roman" w:eastAsia="仿宋_GB2312" w:cs="Times New Roman"/>
          <w:sz w:val="32"/>
          <w:szCs w:val="32"/>
          <w:highlight w:val="none"/>
          <w:lang w:val="en-US" w:eastAsia="zh-CN"/>
        </w:rPr>
        <w:t>；也可能是</w:t>
      </w:r>
      <w:r>
        <w:rPr>
          <w:rFonts w:hint="default" w:ascii="Times New Roman" w:hAnsi="Times New Roman" w:eastAsia="仿宋_GB2312" w:cs="Times New Roman"/>
          <w:sz w:val="32"/>
          <w:szCs w:val="32"/>
          <w:highlight w:val="none"/>
          <w:lang w:val="en-US" w:eastAsia="zh-CN"/>
        </w:rPr>
        <w:t>原水中氯化物含量过高，企业生产过程中去除不到位</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还可能是生产经营企业过量使用消毒剂或消毒剂清洗不彻底。</w:t>
      </w:r>
    </w:p>
    <w:p>
      <w:pPr>
        <w:keepNext w:val="0"/>
        <w:keepLines w:val="0"/>
        <w:pageBreakBefore w:val="0"/>
        <w:widowControl w:val="0"/>
        <w:kinsoku/>
        <w:wordWrap/>
        <w:overflowPunct/>
        <w:topLinePunct w:val="0"/>
        <w:autoSpaceDE w:val="0"/>
        <w:autoSpaceDN w:val="0"/>
        <w:bidi w:val="0"/>
        <w:adjustRightInd w:val="0"/>
        <w:snapToGrid/>
        <w:spacing w:line="594" w:lineRule="exact"/>
        <w:ind w:firstLine="640" w:firstLineChars="200"/>
        <w:jc w:val="both"/>
        <w:textAlignment w:val="auto"/>
        <w:rPr>
          <w:rFonts w:hint="default" w:ascii="Times New Roman" w:hAnsi="Times New Roman" w:eastAsia="黑体" w:cs="Times New Roman"/>
          <w:color w:val="auto"/>
          <w:spacing w:val="0"/>
          <w:sz w:val="32"/>
          <w:szCs w:val="32"/>
          <w:highlight w:val="none"/>
          <w:lang w:val="en-US" w:eastAsia="zh-CN"/>
        </w:rPr>
      </w:pPr>
      <w:r>
        <w:rPr>
          <w:rFonts w:hint="default" w:ascii="Times New Roman" w:hAnsi="Times New Roman" w:eastAsia="黑体" w:cs="Times New Roman"/>
          <w:color w:val="auto"/>
          <w:spacing w:val="0"/>
          <w:sz w:val="32"/>
          <w:szCs w:val="32"/>
          <w:highlight w:val="none"/>
          <w:lang w:val="en-US" w:eastAsia="zh-CN"/>
        </w:rPr>
        <w:t>二十三</w:t>
      </w:r>
      <w:r>
        <w:rPr>
          <w:rFonts w:hint="default" w:ascii="Times New Roman" w:hAnsi="Times New Roman" w:eastAsia="黑体" w:cs="Times New Roman"/>
          <w:color w:val="auto"/>
          <w:spacing w:val="0"/>
          <w:sz w:val="32"/>
          <w:szCs w:val="32"/>
          <w:highlight w:val="none"/>
        </w:rPr>
        <w:t>、</w:t>
      </w:r>
      <w:r>
        <w:rPr>
          <w:rFonts w:hint="eastAsia" w:ascii="Times New Roman" w:hAnsi="Times New Roman" w:eastAsia="黑体" w:cs="Times New Roman"/>
          <w:color w:val="auto"/>
          <w:spacing w:val="0"/>
          <w:sz w:val="32"/>
          <w:szCs w:val="32"/>
          <w:highlight w:val="none"/>
          <w:lang w:val="en-US" w:eastAsia="zh-CN"/>
        </w:rPr>
        <w:t>谷氨酸钠</w:t>
      </w:r>
    </w:p>
    <w:p>
      <w:pPr>
        <w:numPr>
          <w:ilvl w:val="0"/>
          <w:numId w:val="0"/>
        </w:numPr>
        <w:autoSpaceDE/>
        <w:autoSpaceDN/>
        <w:adjustRightInd w:val="0"/>
        <w:snapToGrid w:val="0"/>
        <w:spacing w:line="594" w:lineRule="exact"/>
        <w:ind w:firstLine="640" w:firstLineChars="200"/>
        <w:rPr>
          <w:rFonts w:hint="eastAsia" w:ascii="黑体" w:hAnsi="黑体" w:eastAsia="黑体" w:cs="黑体"/>
          <w:color w:val="auto"/>
          <w:sz w:val="32"/>
          <w:szCs w:val="32"/>
          <w:highlight w:val="lightGray"/>
          <w:lang w:val="en-US" w:eastAsia="zh-CN"/>
        </w:rPr>
      </w:pPr>
      <w:r>
        <w:rPr>
          <w:rFonts w:hint="eastAsia" w:ascii="Times New Roman" w:hAnsi="Times New Roman" w:eastAsia="仿宋_GB2312" w:cs="Times New Roman"/>
          <w:sz w:val="32"/>
          <w:szCs w:val="32"/>
          <w:highlight w:val="none"/>
          <w:lang w:val="en-US" w:eastAsia="zh-CN"/>
        </w:rPr>
        <w:t>谷氨酸钠是鸡精、鸡粉的组成成分，它具有特殊的鲜味，主要用于食品、菜肴的增鲜。谷氨酸钠是反映鸡精调味料鲜味的重要指标。谷氨酸钠不达标不会对人体造成直接危害，但是鸡精的谷氨酸钠含量与其成本有着直接的关系。《鸡精调味料》（SB/T 10371—2003）中规定，鸡精调味料中谷氨酸钠含量应不低于35.0g/100g。鸡精调味料中谷氨酸钠含量不达标的原因，可能是生产企业对原料质量把关不严，或未按照配方标准投料生产。</w:t>
      </w:r>
    </w:p>
    <w:p>
      <w:pPr>
        <w:keepNext w:val="0"/>
        <w:keepLines w:val="0"/>
        <w:pageBreakBefore w:val="0"/>
        <w:numPr>
          <w:ilvl w:val="0"/>
          <w:numId w:val="0"/>
        </w:numPr>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黑体" w:cs="Times New Roman"/>
          <w:spacing w:val="0"/>
          <w:kern w:val="2"/>
          <w:sz w:val="32"/>
          <w:szCs w:val="32"/>
          <w:lang w:val="en-US" w:eastAsia="zh-CN" w:bidi="ar-SA"/>
        </w:rPr>
      </w:pPr>
      <w:r>
        <w:rPr>
          <w:rFonts w:hint="eastAsia" w:ascii="黑体" w:hAnsi="黑体" w:eastAsia="黑体" w:cs="黑体"/>
          <w:color w:val="auto"/>
          <w:spacing w:val="0"/>
          <w:sz w:val="32"/>
          <w:szCs w:val="32"/>
          <w:highlight w:val="none"/>
          <w:lang w:val="en-US" w:eastAsia="zh-CN"/>
        </w:rPr>
        <w:t>二十四</w:t>
      </w:r>
      <w:r>
        <w:rPr>
          <w:rFonts w:hint="eastAsia" w:ascii="黑体" w:hAnsi="黑体" w:eastAsia="黑体" w:cs="黑体"/>
          <w:color w:val="auto"/>
          <w:spacing w:val="0"/>
          <w:sz w:val="32"/>
          <w:szCs w:val="32"/>
          <w:highlight w:val="none"/>
        </w:rPr>
        <w:t>、</w:t>
      </w:r>
      <w:r>
        <w:rPr>
          <w:rFonts w:hint="default" w:ascii="Times New Roman" w:hAnsi="Times New Roman" w:eastAsia="黑体" w:cs="Times New Roman"/>
          <w:spacing w:val="0"/>
          <w:kern w:val="2"/>
          <w:sz w:val="32"/>
          <w:szCs w:val="32"/>
          <w:lang w:val="en-US" w:eastAsia="zh-CN" w:bidi="ar-SA"/>
        </w:rPr>
        <w:t>蛋白质</w:t>
      </w:r>
    </w:p>
    <w:p>
      <w:pPr>
        <w:autoSpaceDE/>
        <w:autoSpaceDN/>
        <w:adjustRightInd/>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蛋白质是由氨基酸以肽键连接在一起，并形成一定空间结构的高分子有机化合物。蛋白质是构成机体组织、器官的重要成分，是构成机体多种重要生理活性物质的成分，还能供给能量。长期摄入蛋白质不足可能会导致营养不良、抵抗力下降。</w:t>
      </w:r>
      <w:r>
        <w:rPr>
          <w:rFonts w:hint="eastAsia" w:ascii="Times New Roman" w:hAnsi="Times New Roman" w:eastAsia="仿宋_GB2312" w:cs="Times New Roman"/>
          <w:sz w:val="32"/>
          <w:szCs w:val="32"/>
          <w:highlight w:val="none"/>
          <w:lang w:val="en-US" w:eastAsia="zh-CN"/>
        </w:rPr>
        <w:t>企业标准《奶贝》（Q/NXZ 0005S—2023）中规定，产品中蛋白质含量（质量分数）应</w:t>
      </w:r>
      <w:r>
        <w:rPr>
          <w:rFonts w:hint="eastAsia" w:ascii="仿宋_GB2312" w:hAnsi="仿宋_GB2312" w:eastAsia="仿宋_GB2312" w:cs="仿宋_GB2312"/>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2.0g/100g；</w:t>
      </w:r>
      <w:r>
        <w:rPr>
          <w:rFonts w:hint="default" w:ascii="Times New Roman" w:hAnsi="Times New Roman" w:eastAsia="仿宋_GB2312" w:cs="Times New Roman"/>
          <w:kern w:val="2"/>
          <w:sz w:val="32"/>
          <w:szCs w:val="32"/>
          <w:lang w:val="en-US" w:eastAsia="zh-CN" w:bidi="ar-SA"/>
        </w:rPr>
        <w:t>《非发酵豆制品》（GB/T</w:t>
      </w:r>
      <w:r>
        <w:rPr>
          <w:rFonts w:hint="eastAsia"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22106</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2008）中规定，腐竹（干燥）</w:t>
      </w:r>
      <w:r>
        <w:rPr>
          <w:rFonts w:hint="eastAsia" w:ascii="Times New Roman" w:hAnsi="Times New Roman" w:eastAsia="仿宋_GB2312" w:cs="Times New Roman"/>
          <w:kern w:val="2"/>
          <w:sz w:val="32"/>
          <w:szCs w:val="32"/>
          <w:lang w:val="en-US" w:eastAsia="zh-CN" w:bidi="ar-SA"/>
        </w:rPr>
        <w:t>中</w:t>
      </w:r>
      <w:r>
        <w:rPr>
          <w:rFonts w:hint="default" w:ascii="Times New Roman" w:hAnsi="Times New Roman" w:eastAsia="仿宋_GB2312" w:cs="Times New Roman"/>
          <w:kern w:val="2"/>
          <w:sz w:val="32"/>
          <w:szCs w:val="32"/>
          <w:lang w:val="en-US" w:eastAsia="zh-CN" w:bidi="ar-SA"/>
        </w:rPr>
        <w:t>蛋白质含量应</w:t>
      </w:r>
      <w:r>
        <w:rPr>
          <w:rFonts w:hint="eastAsia" w:ascii="仿宋_GB2312" w:hAnsi="仿宋_GB2312" w:eastAsia="仿宋_GB2312" w:cs="仿宋_GB2312"/>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45.0g/100g</w:t>
      </w:r>
      <w:r>
        <w:rPr>
          <w:rFonts w:hint="eastAsia" w:ascii="Times New Roman" w:hAnsi="Times New Roman" w:eastAsia="仿宋_GB2312" w:cs="Times New Roman"/>
          <w:kern w:val="2"/>
          <w:sz w:val="32"/>
          <w:szCs w:val="32"/>
          <w:lang w:val="en-US" w:eastAsia="zh-CN" w:bidi="ar-SA"/>
        </w:rPr>
        <w:t>。</w:t>
      </w:r>
      <w:r>
        <w:rPr>
          <w:rFonts w:hint="eastAsia" w:eastAsia="仿宋_GB2312" w:cs="Times New Roman"/>
          <w:color w:val="000000"/>
          <w:kern w:val="0"/>
          <w:sz w:val="32"/>
          <w:szCs w:val="32"/>
          <w:highlight w:val="none"/>
          <w:lang w:val="en-US" w:eastAsia="zh-CN"/>
        </w:rPr>
        <w:t>糖果、</w:t>
      </w:r>
      <w:r>
        <w:rPr>
          <w:rFonts w:hint="default" w:ascii="Times New Roman" w:hAnsi="Times New Roman" w:eastAsia="仿宋_GB2312" w:cs="Times New Roman"/>
          <w:kern w:val="2"/>
          <w:sz w:val="32"/>
          <w:szCs w:val="32"/>
          <w:lang w:val="en-US" w:eastAsia="zh-CN" w:bidi="ar-SA"/>
        </w:rPr>
        <w:t>腐竹</w:t>
      </w:r>
      <w:r>
        <w:rPr>
          <w:rFonts w:hint="default" w:ascii="Times New Roman" w:hAnsi="Times New Roman" w:eastAsia="仿宋_GB2312" w:cs="Times New Roman"/>
          <w:color w:val="000000"/>
          <w:kern w:val="0"/>
          <w:sz w:val="32"/>
          <w:szCs w:val="32"/>
          <w:highlight w:val="none"/>
        </w:rPr>
        <w:t>中</w:t>
      </w:r>
      <w:r>
        <w:rPr>
          <w:rFonts w:hint="default" w:ascii="Times New Roman" w:hAnsi="Times New Roman" w:eastAsia="仿宋_GB2312" w:cs="Times New Roman"/>
          <w:sz w:val="32"/>
          <w:szCs w:val="32"/>
          <w:highlight w:val="none"/>
          <w:lang w:val="en-US" w:eastAsia="zh-CN"/>
        </w:rPr>
        <w:t>蛋白质含量不达标的原因，可能是原辅料质量控制不严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也可能是企业未进行严格的出厂检验保证产品质量。</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0" w:line="594" w:lineRule="exact"/>
        <w:ind w:firstLine="640" w:firstLineChars="200"/>
        <w:jc w:val="both"/>
        <w:textAlignment w:val="auto"/>
        <w:rPr>
          <w:rFonts w:hint="eastAsia" w:ascii="黑体" w:hAnsi="黑体" w:eastAsia="黑体" w:cs="黑体"/>
          <w:szCs w:val="32"/>
          <w:highlight w:val="none"/>
          <w:lang w:eastAsia="zh-CN"/>
        </w:rPr>
      </w:pPr>
      <w:r>
        <w:rPr>
          <w:rFonts w:hint="eastAsia" w:ascii="Times New Roman" w:hAnsi="Times New Roman" w:eastAsia="黑体" w:cs="Times New Roman"/>
          <w:spacing w:val="0"/>
          <w:sz w:val="32"/>
          <w:szCs w:val="32"/>
          <w:highlight w:val="none"/>
          <w:lang w:val="en-US" w:eastAsia="zh-CN"/>
        </w:rPr>
        <w:t>二十五</w:t>
      </w:r>
      <w:r>
        <w:rPr>
          <w:rFonts w:hint="default" w:ascii="Times New Roman" w:hAnsi="Times New Roman" w:eastAsia="黑体" w:cs="Times New Roman"/>
          <w:spacing w:val="0"/>
          <w:sz w:val="32"/>
          <w:szCs w:val="32"/>
          <w:highlight w:val="none"/>
          <w:lang w:val="en-US" w:eastAsia="zh-CN"/>
        </w:rPr>
        <w:t>、</w:t>
      </w:r>
      <w:r>
        <w:rPr>
          <w:rFonts w:hint="eastAsia" w:ascii="黑体" w:hAnsi="黑体" w:eastAsia="黑体" w:cs="黑体"/>
          <w:szCs w:val="32"/>
          <w:highlight w:val="none"/>
          <w:lang w:eastAsia="zh-CN"/>
        </w:rPr>
        <w:t>过氧化值（以脂肪计）</w:t>
      </w:r>
    </w:p>
    <w:p>
      <w:pPr>
        <w:spacing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lang w:val="en-US" w:eastAsia="zh-CN"/>
        </w:rPr>
        <w:t>过氧化值是油脂酸败的早期指标，主要反映油脂被氧化的程度。食用过氧化值超标的食品一般不会对人体健康造成损害，但长期食用过氧化值严重超标的食品可能导致肠胃不适、腹泻等。</w:t>
      </w:r>
      <w:r>
        <w:rPr>
          <w:rFonts w:ascii="Times New Roman" w:hAnsi="Times New Roman" w:eastAsia="仿宋_GB2312" w:cs="Times New Roman"/>
          <w:sz w:val="32"/>
          <w:szCs w:val="32"/>
        </w:rPr>
        <w:t>《食品安全国家标准 坚果与籽类食品》（GB 19300</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2014）中规定，</w:t>
      </w:r>
      <w:r>
        <w:rPr>
          <w:rFonts w:hint="eastAsia" w:ascii="Times New Roman" w:hAnsi="Times New Roman" w:eastAsia="仿宋_GB2312" w:cs="Times New Roman"/>
          <w:color w:val="auto"/>
          <w:sz w:val="32"/>
          <w:szCs w:val="32"/>
          <w:highlight w:val="none"/>
          <w:lang w:val="en-US" w:eastAsia="zh-CN"/>
        </w:rPr>
        <w:t>熟制葵花籽中</w:t>
      </w:r>
      <w:r>
        <w:rPr>
          <w:rFonts w:ascii="Times New Roman" w:hAnsi="Times New Roman" w:eastAsia="仿宋_GB2312" w:cs="Times New Roman"/>
          <w:sz w:val="32"/>
          <w:szCs w:val="32"/>
        </w:rPr>
        <w:t>过氧化值（以脂肪计）的最大限量值为0.</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0g/100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其他熟制坚果与籽类食品中</w:t>
      </w:r>
      <w:r>
        <w:rPr>
          <w:rFonts w:ascii="Times New Roman" w:hAnsi="Times New Roman" w:eastAsia="仿宋_GB2312" w:cs="Times New Roman"/>
          <w:sz w:val="32"/>
          <w:szCs w:val="32"/>
        </w:rPr>
        <w:t>过氧化值（以脂肪计）的最大限量值为0.</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0g/100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hint="eastAsia" w:ascii="Times New Roman" w:hAnsi="Times New Roman" w:eastAsia="仿宋_GB2312" w:cs="Times New Roman"/>
          <w:color w:val="auto"/>
          <w:sz w:val="32"/>
          <w:szCs w:val="32"/>
          <w:highlight w:val="none"/>
          <w:lang w:val="en-US" w:eastAsia="zh-CN"/>
        </w:rPr>
        <w:t>熟制坚果与籽类食品</w:t>
      </w:r>
      <w:r>
        <w:rPr>
          <w:rFonts w:hint="default" w:ascii="Times New Roman" w:hAnsi="Times New Roman" w:eastAsia="仿宋_GB2312" w:cs="Times New Roman"/>
          <w:color w:val="auto"/>
          <w:sz w:val="32"/>
          <w:szCs w:val="32"/>
          <w:lang w:val="en-US" w:eastAsia="zh-CN"/>
        </w:rPr>
        <w:t>中过氧化值（以脂肪计）检验值超标的原因，可能是原料中的脂肪已经被氧化；也可能与产品在储运过程中环境条件控制不当等有关。</w:t>
      </w:r>
    </w:p>
    <w:p>
      <w:pPr>
        <w:spacing w:line="594" w:lineRule="exact"/>
        <w:ind w:firstLine="640" w:firstLineChars="200"/>
        <w:jc w:val="both"/>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0"/>
          <w:sz w:val="32"/>
          <w:szCs w:val="32"/>
          <w:highlight w:val="none"/>
          <w:lang w:val="en-US" w:eastAsia="zh-CN"/>
        </w:rPr>
        <w:t>二十六</w:t>
      </w:r>
      <w:r>
        <w:rPr>
          <w:rFonts w:hint="default" w:ascii="Times New Roman" w:hAnsi="Times New Roman" w:eastAsia="黑体" w:cs="Times New Roman"/>
          <w:color w:val="auto"/>
          <w:spacing w:val="0"/>
          <w:sz w:val="32"/>
          <w:szCs w:val="32"/>
          <w:highlight w:val="none"/>
        </w:rPr>
        <w:t>、</w:t>
      </w:r>
      <w:r>
        <w:rPr>
          <w:rFonts w:hint="default" w:ascii="Times New Roman" w:hAnsi="Times New Roman" w:eastAsia="黑体" w:cs="Times New Roman"/>
          <w:spacing w:val="0"/>
          <w:sz w:val="32"/>
          <w:szCs w:val="32"/>
          <w:lang w:val="en-US" w:eastAsia="zh-CN"/>
        </w:rPr>
        <w:t>电导率</w:t>
      </w:r>
    </w:p>
    <w:p>
      <w:pPr>
        <w:pStyle w:val="9"/>
        <w:adjustRightInd/>
        <w:spacing w:after="0" w:line="594"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sz w:val="32"/>
          <w:szCs w:val="32"/>
          <w:highlight w:val="none"/>
          <w:lang w:val="en-US" w:eastAsia="zh-CN"/>
        </w:rPr>
        <w:t>电导率是衡量食品中电解质含量的一种物理量，是饮用纯净水的一个重要指标，能反映出饮用纯净水中可溶性固形物的含量和电解质的存在，电导率检测值偏高通常意味着饮用纯净水可能含有较多的杂质。《瓶装饮用纯净水》（GB 17323</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1998）中规定，饮用纯净水</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电导率在（25±1）℃测试条件下应</w:t>
      </w:r>
      <w:r>
        <w:rPr>
          <w:rFonts w:hint="eastAsia" w:ascii="仿宋_GB2312" w:hAnsi="仿宋_GB2312" w:eastAsia="仿宋_GB2312" w:cs="仿宋_GB2312"/>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10μS/cm。饮用纯净水</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电导率</w:t>
      </w:r>
      <w:r>
        <w:rPr>
          <w:rFonts w:hint="eastAsia" w:ascii="Times New Roman" w:hAnsi="Times New Roman" w:eastAsia="仿宋_GB2312" w:cs="Times New Roman"/>
          <w:sz w:val="32"/>
          <w:szCs w:val="32"/>
          <w:highlight w:val="none"/>
          <w:lang w:val="en-US" w:eastAsia="zh-CN"/>
        </w:rPr>
        <w:t>检验值超标</w:t>
      </w:r>
      <w:r>
        <w:rPr>
          <w:rFonts w:hint="default" w:ascii="Times New Roman" w:hAnsi="Times New Roman" w:eastAsia="仿宋_GB2312" w:cs="Times New Roman"/>
          <w:sz w:val="32"/>
          <w:szCs w:val="32"/>
          <w:highlight w:val="none"/>
          <w:lang w:val="en-US" w:eastAsia="zh-CN"/>
        </w:rPr>
        <w:t>的原因</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可能是生产工艺存在问题</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也可能是反渗透滤膜长久未更换</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还可能是过滤设备清洗不到位。</w:t>
      </w:r>
    </w:p>
    <w:p>
      <w:pPr>
        <w:spacing w:line="594" w:lineRule="exact"/>
        <w:ind w:firstLine="640" w:firstLineChars="200"/>
        <w:rPr>
          <w:rFonts w:hint="default" w:ascii="Times New Roman" w:hAnsi="Times New Roman" w:eastAsia="仿宋_GB2312" w:cs="Times New Roman"/>
          <w:kern w:val="2"/>
          <w:sz w:val="32"/>
          <w:szCs w:val="32"/>
          <w:lang w:val="en-US" w:eastAsia="zh-CN" w:bidi="ar-SA"/>
        </w:rPr>
      </w:pPr>
      <w:r>
        <w:rPr>
          <w:rFonts w:hint="eastAsia" w:ascii="黑体" w:hAnsi="黑体" w:eastAsia="黑体" w:cs="黑体"/>
          <w:color w:val="auto"/>
          <w:kern w:val="2"/>
          <w:sz w:val="32"/>
          <w:szCs w:val="32"/>
          <w:highlight w:val="none"/>
          <w:lang w:val="en-US" w:eastAsia="zh-CN" w:bidi="ar-SA"/>
        </w:rPr>
        <w:t>二十七、</w:t>
      </w:r>
      <w:r>
        <w:rPr>
          <w:rFonts w:hint="eastAsia" w:ascii="Times New Roman" w:hAnsi="Times New Roman" w:eastAsia="黑体" w:cs="Times New Roman"/>
          <w:spacing w:val="0"/>
          <w:sz w:val="32"/>
          <w:szCs w:val="32"/>
          <w:lang w:val="en-US" w:eastAsia="zh-CN"/>
        </w:rPr>
        <w:t>SOD活力</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ind w:firstLine="640" w:firstLineChars="200"/>
        <w:textAlignment w:val="auto"/>
        <w:rPr>
          <w:rFonts w:hint="eastAsia" w:ascii="黑体" w:hAnsi="黑体" w:eastAsia="黑体" w:cs="黑体"/>
          <w:color w:val="auto"/>
          <w:sz w:val="32"/>
          <w:szCs w:val="32"/>
          <w:highlight w:val="none"/>
          <w:lang w:val="en-US" w:eastAsia="zh-CN"/>
        </w:rPr>
      </w:pPr>
      <w:r>
        <w:rPr>
          <w:rFonts w:hint="default" w:ascii="Times New Roman" w:hAnsi="Times New Roman" w:eastAsia="仿宋_GB2312" w:cs="Times New Roman"/>
          <w:kern w:val="2"/>
          <w:sz w:val="32"/>
          <w:szCs w:val="32"/>
          <w:lang w:val="en-US" w:eastAsia="zh-CN" w:bidi="ar-SA"/>
        </w:rPr>
        <w:t>超氧化物歧化酶（Superoxide dismutase，SOD）</w:t>
      </w:r>
      <w:r>
        <w:rPr>
          <w:rFonts w:hint="eastAsia" w:ascii="Times New Roman" w:hAnsi="Times New Roman" w:eastAsia="仿宋_GB2312" w:cs="Times New Roman"/>
          <w:kern w:val="2"/>
          <w:sz w:val="32"/>
          <w:szCs w:val="32"/>
          <w:lang w:val="en-US" w:eastAsia="zh-CN" w:bidi="ar-SA"/>
        </w:rPr>
        <w:t>具有清除自由基的能力，可起到抗氧化作用，</w:t>
      </w:r>
      <w:r>
        <w:rPr>
          <w:rFonts w:hint="default" w:ascii="Times New Roman" w:hAnsi="Times New Roman" w:eastAsia="仿宋_GB2312" w:cs="Times New Roman"/>
          <w:kern w:val="2"/>
          <w:sz w:val="32"/>
          <w:szCs w:val="32"/>
          <w:lang w:val="en-US" w:eastAsia="zh-CN" w:bidi="ar-SA"/>
        </w:rPr>
        <w:t>是一种具有抗氧化、抗衰老、抗辐射等作用的酶。</w:t>
      </w:r>
      <w:r>
        <w:rPr>
          <w:rFonts w:hint="eastAsia" w:ascii="Times New Roman" w:hAnsi="Times New Roman" w:eastAsia="仿宋_GB2312" w:cs="Times New Roman"/>
          <w:kern w:val="2"/>
          <w:sz w:val="32"/>
          <w:szCs w:val="32"/>
          <w:lang w:val="en-US" w:eastAsia="zh-CN" w:bidi="ar-SA"/>
        </w:rPr>
        <w:t>企业标准</w:t>
      </w:r>
      <w:r>
        <w:rPr>
          <w:rFonts w:hint="default" w:ascii="Times New Roman" w:hAnsi="Times New Roman" w:eastAsia="仿宋_GB2312" w:cs="Times New Roman"/>
          <w:kern w:val="2"/>
          <w:sz w:val="32"/>
          <w:szCs w:val="32"/>
          <w:lang w:val="en-US" w:eastAsia="zh-CN" w:bidi="ar-SA"/>
        </w:rPr>
        <w:t>《博可牌麦记片》（Q/HBS</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0002S</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kern w:val="2"/>
          <w:sz w:val="32"/>
          <w:szCs w:val="32"/>
          <w:lang w:val="en-US" w:eastAsia="zh-CN" w:bidi="ar-SA"/>
        </w:rPr>
        <w:t>2018）中规定，产品中SOD活力应</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5000U/100g</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保健食品中SOD活力</w:t>
      </w:r>
      <w:r>
        <w:rPr>
          <w:rFonts w:hint="eastAsia" w:ascii="Times New Roman" w:hAnsi="Times New Roman" w:eastAsia="仿宋_GB2312" w:cs="Times New Roman"/>
          <w:kern w:val="2"/>
          <w:sz w:val="32"/>
          <w:szCs w:val="32"/>
          <w:lang w:val="en-US" w:eastAsia="zh-CN" w:bidi="ar-SA"/>
        </w:rPr>
        <w:t>含量</w:t>
      </w:r>
      <w:r>
        <w:rPr>
          <w:rFonts w:hint="default" w:ascii="Times New Roman" w:hAnsi="Times New Roman" w:eastAsia="仿宋_GB2312" w:cs="Times New Roman"/>
          <w:kern w:val="2"/>
          <w:sz w:val="32"/>
          <w:szCs w:val="32"/>
          <w:lang w:val="en-US" w:eastAsia="zh-CN" w:bidi="ar-SA"/>
        </w:rPr>
        <w:t>不达标的原因，可能是原料采购或投料把关不严；也可能是生产工艺不当；还可能是贮运条件不当。</w:t>
      </w:r>
    </w:p>
    <w:p>
      <w:pPr>
        <w:pStyle w:val="9"/>
        <w:keepNext w:val="0"/>
        <w:keepLines w:val="0"/>
        <w:pageBreakBefore w:val="0"/>
        <w:widowControl w:val="0"/>
        <w:kinsoku/>
        <w:wordWrap/>
        <w:overflowPunct/>
        <w:topLinePunct w:val="0"/>
        <w:autoSpaceDE/>
        <w:autoSpaceDN/>
        <w:bidi w:val="0"/>
        <w:snapToGrid/>
        <w:spacing w:after="0" w:line="594" w:lineRule="exact"/>
        <w:ind w:firstLine="640" w:firstLineChars="200"/>
        <w:jc w:val="both"/>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z w:val="32"/>
          <w:szCs w:val="32"/>
          <w:highlight w:val="none"/>
          <w:lang w:val="en-US" w:eastAsia="zh-CN"/>
        </w:rPr>
        <w:t>二十八</w:t>
      </w:r>
      <w:r>
        <w:rPr>
          <w:rFonts w:hint="default"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spacing w:val="0"/>
          <w:sz w:val="32"/>
          <w:szCs w:val="32"/>
          <w:lang w:val="en-US" w:eastAsia="zh-CN"/>
        </w:rPr>
        <w:t>维生素A</w:t>
      </w:r>
    </w:p>
    <w:p>
      <w:pPr>
        <w:pStyle w:val="9"/>
        <w:widowControl/>
        <w:adjustRightInd/>
        <w:spacing w:after="0" w:line="594" w:lineRule="exact"/>
        <w:ind w:firstLine="640" w:firstLineChars="200"/>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sz w:val="32"/>
          <w:szCs w:val="32"/>
          <w:lang w:val="en-US" w:eastAsia="zh-CN"/>
        </w:rPr>
        <w:t>维生素A是一种脂溶性维生素，在人体代谢过程中发挥重要作用，是婴幼儿生长发育不可缺少的微量营养素。维生素A缺乏可能引起夜盲症、干眼症等眼部症状，还可能会导致食欲减退、免疫功能低下。《食品安全国家标准 婴幼儿谷类辅助食品》（GB 10769</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2010）中规定，婴幼儿谷类辅助食品中维生素A含量应在14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43μgRE/100kJ范围内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w:t>
      </w:r>
      <w:r>
        <w:rPr>
          <w:rFonts w:hint="default" w:ascii="Times New Roman" w:hAnsi="Times New Roman" w:eastAsia="仿宋_GB2312" w:cs="Times New Roman"/>
          <w:sz w:val="32"/>
          <w:lang w:val="en-US" w:eastAsia="zh-CN"/>
        </w:rPr>
        <w:t>A</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120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375μ</w:t>
      </w:r>
      <w:r>
        <w:rPr>
          <w:rFonts w:hint="default" w:ascii="Times New Roman" w:hAnsi="Times New Roman" w:eastAsia="仿宋_GB2312" w:cs="Times New Roman"/>
          <w:sz w:val="32"/>
          <w:szCs w:val="32"/>
        </w:rPr>
        <w:t>g</w:t>
      </w:r>
      <w:r>
        <w:rPr>
          <w:rFonts w:hint="default" w:ascii="Times New Roman" w:hAnsi="Times New Roman" w:eastAsia="仿宋_GB2312" w:cs="Times New Roman"/>
          <w:sz w:val="32"/>
          <w:szCs w:val="32"/>
          <w:lang w:val="en-US" w:eastAsia="zh-CN"/>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2013）中规定，在产品保质期内，能量和营养成分的实际含量不应低于标示值的80%。婴幼儿谷类辅助食品</w:t>
      </w:r>
      <w:r>
        <w:rPr>
          <w:rFonts w:hint="eastAsia" w:ascii="Times New Roman" w:hAnsi="Times New Roman" w:eastAsia="仿宋_GB2312" w:cs="Times New Roman"/>
          <w:sz w:val="32"/>
          <w:szCs w:val="32"/>
          <w:lang w:val="en-US" w:eastAsia="zh-CN"/>
        </w:rPr>
        <w:t>、运动营养食品</w:t>
      </w:r>
      <w:r>
        <w:rPr>
          <w:rFonts w:hint="default" w:ascii="Times New Roman" w:hAnsi="Times New Roman" w:eastAsia="仿宋_GB2312" w:cs="Times New Roman"/>
          <w:sz w:val="32"/>
          <w:szCs w:val="32"/>
          <w:lang w:val="en-US" w:eastAsia="zh-CN"/>
        </w:rPr>
        <w:t>中维生素A含量不</w:t>
      </w:r>
      <w:r>
        <w:rPr>
          <w:rFonts w:hint="eastAsia" w:ascii="Times New Roman" w:hAnsi="Times New Roman" w:eastAsia="仿宋_GB2312" w:cs="Times New Roman"/>
          <w:sz w:val="32"/>
          <w:szCs w:val="32"/>
          <w:lang w:val="en-US" w:eastAsia="zh-CN"/>
        </w:rPr>
        <w:t>合格</w:t>
      </w:r>
      <w:r>
        <w:rPr>
          <w:rFonts w:hint="default" w:ascii="Times New Roman" w:hAnsi="Times New Roman" w:eastAsia="仿宋_GB2312" w:cs="Times New Roman"/>
          <w:sz w:val="32"/>
          <w:szCs w:val="32"/>
          <w:lang w:val="en-US" w:eastAsia="zh-CN"/>
        </w:rPr>
        <w:t>的原因，可能是原辅料用食品营养强化剂不符合质量要求；也可能是生产加工过程中搅拌不均匀；还可能是在加工或储存过程中损失。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auto"/>
          <w:spacing w:val="0"/>
          <w:sz w:val="32"/>
          <w:szCs w:val="32"/>
          <w:highlight w:val="none"/>
          <w:lang w:val="en-US" w:eastAsia="zh-CN"/>
        </w:rPr>
        <w:t>二十九</w:t>
      </w:r>
      <w:r>
        <w:rPr>
          <w:rFonts w:hint="default" w:ascii="Times New Roman" w:hAnsi="Times New Roman" w:eastAsia="黑体" w:cs="Times New Roman"/>
          <w:color w:val="auto"/>
          <w:spacing w:val="0"/>
          <w:sz w:val="32"/>
          <w:szCs w:val="32"/>
          <w:highlight w:val="none"/>
        </w:rPr>
        <w:t>、</w:t>
      </w:r>
      <w:r>
        <w:rPr>
          <w:rFonts w:hint="default" w:ascii="Times New Roman" w:hAnsi="Times New Roman" w:eastAsia="黑体" w:cs="Times New Roman"/>
          <w:sz w:val="32"/>
          <w:szCs w:val="32"/>
          <w:lang w:val="en-US" w:eastAsia="zh-CN"/>
        </w:rPr>
        <w:t>维生素B</w:t>
      </w:r>
      <w:r>
        <w:rPr>
          <w:rFonts w:hint="default" w:ascii="Times New Roman" w:hAnsi="Times New Roman" w:eastAsia="黑体" w:cs="Times New Roman"/>
          <w:sz w:val="32"/>
          <w:szCs w:val="32"/>
          <w:vertAlign w:val="subscript"/>
          <w:lang w:val="en-US" w:eastAsia="zh-CN"/>
        </w:rPr>
        <w:t>2</w:t>
      </w:r>
    </w:p>
    <w:p>
      <w:pPr>
        <w:pStyle w:val="9"/>
        <w:spacing w:after="0" w:line="594"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是一种水溶性维生素，能够参与体内生物氧化与能量代谢。维生素B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缺乏可能会导致疲倦乏力、口腔疼痛，严重时可引起维生素B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缺乏病。</w:t>
      </w:r>
      <w:r>
        <w:rPr>
          <w:rFonts w:hint="default" w:ascii="Times New Roman" w:hAnsi="Times New Roman" w:eastAsia="仿宋_GB2312" w:cs="Times New Roman"/>
          <w:sz w:val="32"/>
          <w:szCs w:val="32"/>
        </w:rPr>
        <w:t xml:space="preserve">《食品安全国家标准 </w:t>
      </w:r>
      <w:r>
        <w:rPr>
          <w:rFonts w:hint="default" w:ascii="Times New Roman" w:hAnsi="Times New Roman" w:eastAsia="仿宋_GB2312" w:cs="Times New Roman"/>
          <w:sz w:val="32"/>
          <w:szCs w:val="32"/>
          <w:lang w:val="en-US" w:eastAsia="zh-CN"/>
        </w:rPr>
        <w:t>婴幼儿谷类辅助食品</w:t>
      </w:r>
      <w:r>
        <w:rPr>
          <w:rFonts w:hint="default" w:ascii="Times New Roman" w:hAnsi="Times New Roman" w:eastAsia="仿宋_GB2312" w:cs="Times New Roman"/>
          <w:sz w:val="32"/>
          <w:szCs w:val="32"/>
        </w:rPr>
        <w:t xml:space="preserve">》（GB </w:t>
      </w:r>
      <w:r>
        <w:rPr>
          <w:rFonts w:hint="default" w:ascii="Times New Roman" w:hAnsi="Times New Roman" w:eastAsia="仿宋_GB2312" w:cs="Times New Roman"/>
          <w:sz w:val="32"/>
          <w:szCs w:val="32"/>
          <w:lang w:val="en-US" w:eastAsia="zh-CN"/>
        </w:rPr>
        <w:t>10769</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2010</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婴幼儿谷类辅助食品中维生素B</w:t>
      </w:r>
      <w:r>
        <w:rPr>
          <w:rFonts w:hint="default" w:ascii="Times New Roman" w:hAnsi="Times New Roman" w:eastAsia="仿宋_GB2312" w:cs="Times New Roman"/>
          <w:sz w:val="32"/>
          <w:szCs w:val="32"/>
          <w:vertAlign w:val="subscript"/>
          <w:lang w:val="en-US" w:eastAsia="zh-CN"/>
        </w:rPr>
        <w:t>2</w:t>
      </w:r>
      <w:r>
        <w:rPr>
          <w:rFonts w:hint="default" w:ascii="Times New Roman" w:hAnsi="Times New Roman" w:eastAsia="仿宋_GB2312" w:cs="Times New Roman"/>
          <w:sz w:val="32"/>
          <w:szCs w:val="32"/>
          <w:lang w:val="en-US" w:eastAsia="zh-CN"/>
        </w:rPr>
        <w:t>含量</w:t>
      </w:r>
      <w:r>
        <w:rPr>
          <w:rFonts w:hint="default" w:ascii="Times New Roman" w:hAnsi="Times New Roman" w:eastAsia="仿宋_GB2312" w:cs="Times New Roman"/>
          <w:sz w:val="32"/>
          <w:szCs w:val="32"/>
        </w:rPr>
        <w:t>应</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13.0</w:t>
      </w:r>
      <w:r>
        <w:rPr>
          <w:rFonts w:hint="default" w:ascii="Times New Roman" w:hAnsi="Times New Roman" w:eastAsia="仿宋_GB2312" w:cs="Times New Roman"/>
          <w:sz w:val="32"/>
          <w:szCs w:val="32"/>
        </w:rPr>
        <w:t>μg</w:t>
      </w:r>
      <w:r>
        <w:rPr>
          <w:rFonts w:hint="default" w:ascii="Times New Roman" w:hAnsi="Times New Roman" w:eastAsia="仿宋_GB2312" w:cs="Times New Roman"/>
          <w:sz w:val="32"/>
          <w:szCs w:val="32"/>
          <w:lang w:val="en-US" w:eastAsia="zh-CN"/>
        </w:rPr>
        <w:t>/100kJ</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婴幼儿谷类辅助食品中维生素B</w:t>
      </w:r>
      <w:r>
        <w:rPr>
          <w:rFonts w:hint="default" w:ascii="Times New Roman" w:hAnsi="Times New Roman" w:eastAsia="仿宋_GB2312" w:cs="Times New Roman"/>
          <w:sz w:val="32"/>
          <w:szCs w:val="32"/>
          <w:vertAlign w:val="subscript"/>
          <w:lang w:val="en-US" w:eastAsia="zh-CN"/>
        </w:rPr>
        <w:t>2</w:t>
      </w:r>
      <w:r>
        <w:rPr>
          <w:rFonts w:hint="default" w:ascii="Times New Roman" w:hAnsi="Times New Roman" w:eastAsia="仿宋_GB2312" w:cs="Times New Roman"/>
          <w:sz w:val="32"/>
          <w:szCs w:val="32"/>
          <w:lang w:val="en-US" w:eastAsia="zh-CN"/>
        </w:rPr>
        <w:t>含量不达标</w:t>
      </w:r>
      <w:r>
        <w:rPr>
          <w:rFonts w:hint="default" w:ascii="Times New Roman" w:hAnsi="Times New Roman" w:eastAsia="仿宋_GB2312" w:cs="Times New Roman"/>
          <w:sz w:val="32"/>
          <w:szCs w:val="32"/>
        </w:rPr>
        <w:t>的原因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w:t>
      </w:r>
      <w:r>
        <w:rPr>
          <w:rFonts w:hint="default" w:ascii="Times New Roman" w:hAnsi="Times New Roman" w:eastAsia="仿宋_GB2312" w:cs="Times New Roman"/>
          <w:sz w:val="32"/>
          <w:szCs w:val="32"/>
        </w:rPr>
        <w:t>可能是在加工或储存过程中损失。</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000000"/>
          <w:sz w:val="32"/>
          <w:szCs w:val="32"/>
          <w:lang w:val="en-US" w:eastAsia="zh-CN"/>
        </w:rPr>
        <w:t>三十、</w:t>
      </w:r>
      <w:r>
        <w:rPr>
          <w:rFonts w:hint="default" w:ascii="Times New Roman" w:hAnsi="Times New Roman" w:eastAsia="黑体" w:cs="Times New Roman"/>
          <w:spacing w:val="0"/>
          <w:sz w:val="32"/>
          <w:szCs w:val="32"/>
          <w:lang w:val="en-US" w:eastAsia="zh-CN"/>
        </w:rPr>
        <w:t>维生素D</w:t>
      </w:r>
    </w:p>
    <w:p>
      <w:pPr>
        <w:adjustRightInd/>
        <w:spacing w:line="594" w:lineRule="exact"/>
        <w:ind w:firstLine="640" w:firstLineChars="200"/>
        <w:rPr>
          <w:rFonts w:hint="eastAsia" w:ascii="黑体" w:hAnsi="黑体" w:eastAsia="黑体" w:cs="Times New Roman"/>
          <w:sz w:val="32"/>
          <w:szCs w:val="32"/>
          <w:highlight w:val="none"/>
          <w:lang w:eastAsia="zh-CN"/>
        </w:rPr>
      </w:pPr>
      <w:r>
        <w:rPr>
          <w:rFonts w:hint="default" w:ascii="Times New Roman" w:hAnsi="Times New Roman" w:eastAsia="仿宋_GB2312" w:cs="Times New Roman"/>
          <w:spacing w:val="0"/>
          <w:sz w:val="32"/>
          <w:szCs w:val="32"/>
          <w:lang w:val="en-US" w:eastAsia="zh-CN"/>
        </w:rPr>
        <w:t>维生素D是一种脂溶性维生素，可以维持血浆钙和磷的水平稳定，满足骨骼矿物质化、肌肉收缩、神经传导及细胞的基本功能。维生素D缺乏可能导致钙的吸收利用降低，出现佝偻病、骨软化症及骨质疏松等问题。</w:t>
      </w:r>
      <w:r>
        <w:rPr>
          <w:rFonts w:hint="default" w:ascii="Times New Roman" w:hAnsi="Times New Roman" w:eastAsia="仿宋_GB2312" w:cs="Times New Roman"/>
          <w:spacing w:val="0"/>
          <w:sz w:val="32"/>
          <w:szCs w:val="32"/>
        </w:rPr>
        <w:t xml:space="preserve">《食品安全国家标准 </w:t>
      </w:r>
      <w:r>
        <w:rPr>
          <w:rFonts w:hint="default" w:ascii="Times New Roman" w:hAnsi="Times New Roman" w:eastAsia="仿宋_GB2312" w:cs="Times New Roman"/>
          <w:spacing w:val="0"/>
          <w:sz w:val="32"/>
          <w:szCs w:val="32"/>
          <w:lang w:val="en-US" w:eastAsia="zh-CN"/>
        </w:rPr>
        <w:t>婴幼儿谷类辅助食品</w:t>
      </w:r>
      <w:r>
        <w:rPr>
          <w:rFonts w:hint="default" w:ascii="Times New Roman" w:hAnsi="Times New Roman" w:eastAsia="仿宋_GB2312" w:cs="Times New Roman"/>
          <w:spacing w:val="0"/>
          <w:sz w:val="32"/>
          <w:szCs w:val="32"/>
        </w:rPr>
        <w:t xml:space="preserve">》（GB </w:t>
      </w:r>
      <w:r>
        <w:rPr>
          <w:rFonts w:hint="default" w:ascii="Times New Roman" w:hAnsi="Times New Roman" w:eastAsia="仿宋_GB2312" w:cs="Times New Roman"/>
          <w:spacing w:val="0"/>
          <w:sz w:val="32"/>
          <w:szCs w:val="32"/>
          <w:lang w:val="en-US" w:eastAsia="zh-CN"/>
        </w:rPr>
        <w:t>10769</w:t>
      </w:r>
      <w:r>
        <w:rPr>
          <w:rFonts w:hint="eastAsia"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lang w:val="en-US" w:eastAsia="zh-CN"/>
        </w:rPr>
        <w:t>2010</w:t>
      </w:r>
      <w:r>
        <w:rPr>
          <w:rFonts w:hint="default" w:ascii="Times New Roman" w:hAnsi="Times New Roman" w:eastAsia="仿宋_GB2312" w:cs="Times New Roman"/>
          <w:spacing w:val="0"/>
          <w:sz w:val="32"/>
          <w:szCs w:val="32"/>
        </w:rPr>
        <w:t>）中规定，</w:t>
      </w:r>
      <w:r>
        <w:rPr>
          <w:rFonts w:hint="default" w:ascii="Times New Roman" w:hAnsi="Times New Roman" w:eastAsia="仿宋_GB2312" w:cs="Times New Roman"/>
          <w:spacing w:val="0"/>
          <w:sz w:val="32"/>
          <w:szCs w:val="32"/>
          <w:lang w:val="en-US" w:eastAsia="zh-CN"/>
        </w:rPr>
        <w:t>婴幼儿谷类辅助食品中维生素D含量</w:t>
      </w:r>
      <w:r>
        <w:rPr>
          <w:rFonts w:hint="default" w:ascii="Times New Roman" w:hAnsi="Times New Roman" w:eastAsia="仿宋_GB2312" w:cs="Times New Roman"/>
          <w:spacing w:val="0"/>
          <w:sz w:val="32"/>
          <w:szCs w:val="32"/>
        </w:rPr>
        <w:t>应</w:t>
      </w:r>
      <w:r>
        <w:rPr>
          <w:rFonts w:hint="default" w:ascii="Times New Roman" w:hAnsi="Times New Roman" w:eastAsia="仿宋_GB2312" w:cs="Times New Roman"/>
          <w:spacing w:val="0"/>
          <w:sz w:val="32"/>
          <w:szCs w:val="32"/>
          <w:lang w:val="en-US" w:eastAsia="zh-CN"/>
        </w:rPr>
        <w:t>在0.25</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lang w:val="en-US" w:eastAsia="zh-CN"/>
        </w:rPr>
        <w:t>0.75</w:t>
      </w:r>
      <w:r>
        <w:rPr>
          <w:rFonts w:hint="default" w:ascii="Times New Roman" w:hAnsi="Times New Roman" w:eastAsia="仿宋_GB2312" w:cs="Times New Roman"/>
          <w:spacing w:val="0"/>
          <w:sz w:val="32"/>
          <w:szCs w:val="32"/>
        </w:rPr>
        <w:t>μg</w:t>
      </w:r>
      <w:r>
        <w:rPr>
          <w:rFonts w:hint="default" w:ascii="Times New Roman" w:hAnsi="Times New Roman" w:eastAsia="仿宋_GB2312" w:cs="Times New Roman"/>
          <w:spacing w:val="0"/>
          <w:sz w:val="32"/>
          <w:szCs w:val="32"/>
          <w:lang w:val="en-US" w:eastAsia="zh-CN"/>
        </w:rPr>
        <w:t>/100kJ范围内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pacing w:val="0"/>
          <w:sz w:val="32"/>
          <w:szCs w:val="32"/>
          <w:lang w:val="en-US" w:eastAsia="zh-CN"/>
        </w:rPr>
        <w:t>《食品安全国家标准 运动营养食品通则》（GB 24154</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lang w:val="en-US" w:eastAsia="zh-CN"/>
        </w:rPr>
        <w:t>2015）中规定，运动营养食品中维生素D含量（以每日计）应在1.5</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pacing w:val="0"/>
          <w:sz w:val="32"/>
          <w:szCs w:val="32"/>
          <w:lang w:val="en-US" w:eastAsia="zh-CN"/>
        </w:rPr>
        <w:t>10μg范围内</w:t>
      </w:r>
      <w:r>
        <w:rPr>
          <w:rFonts w:hint="eastAsia" w:ascii="Times New Roman" w:hAnsi="Times New Roman" w:eastAsia="仿宋_GB2312" w:cs="Times New Roman"/>
          <w:spacing w:val="0"/>
          <w:sz w:val="32"/>
          <w:szCs w:val="32"/>
          <w:lang w:val="en-US" w:eastAsia="zh-CN"/>
        </w:rPr>
        <w:t>；</w:t>
      </w:r>
      <w:r>
        <w:rPr>
          <w:rFonts w:hint="default" w:ascii="Times New Roman" w:hAnsi="Times New Roman" w:eastAsia="仿宋_GB2312" w:cs="Times New Roman"/>
          <w:sz w:val="32"/>
        </w:rPr>
        <w:t>《食品安全国家标准 预包装特殊膳食用食品标签》（GB 13432</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sz w:val="32"/>
          <w:lang w:val="en-US" w:eastAsia="zh-CN"/>
        </w:rPr>
        <w:t>婴幼儿谷类辅助食品</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运动营养食品中维生素D</w:t>
      </w:r>
      <w:r>
        <w:rPr>
          <w:rFonts w:hint="default" w:ascii="Times New Roman" w:hAnsi="Times New Roman" w:eastAsia="仿宋_GB2312" w:cs="Times New Roman"/>
          <w:sz w:val="32"/>
          <w:lang w:val="en-US" w:eastAsia="zh-CN"/>
        </w:rPr>
        <w:t>含量</w:t>
      </w:r>
      <w:r>
        <w:rPr>
          <w:rFonts w:hint="default" w:ascii="Times New Roman" w:hAnsi="Times New Roman" w:eastAsia="仿宋_GB2312" w:cs="Times New Roman"/>
          <w:sz w:val="32"/>
        </w:rPr>
        <w:t>不</w:t>
      </w:r>
      <w:r>
        <w:rPr>
          <w:rFonts w:hint="eastAsia" w:ascii="Times New Roman" w:hAnsi="Times New Roman" w:eastAsia="仿宋_GB2312" w:cs="Times New Roman"/>
          <w:sz w:val="32"/>
          <w:lang w:val="en-US" w:eastAsia="zh-CN"/>
        </w:rPr>
        <w:t>合格</w:t>
      </w:r>
      <w:r>
        <w:rPr>
          <w:rFonts w:hint="default" w:ascii="Times New Roman" w:hAnsi="Times New Roman" w:eastAsia="仿宋_GB2312" w:cs="Times New Roman"/>
          <w:sz w:val="32"/>
        </w:rPr>
        <w:t>的原因，</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z w:val="32"/>
          <w:szCs w:val="32"/>
          <w:highlight w:val="none"/>
          <w:lang w:val="en-US" w:eastAsia="zh-CN"/>
        </w:rPr>
        <w:t>三十</w:t>
      </w:r>
      <w:r>
        <w:rPr>
          <w:rFonts w:hint="eastAsia"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lang w:val="en-US" w:eastAsia="zh-CN"/>
        </w:rPr>
        <w:t>、</w:t>
      </w:r>
      <w:r>
        <w:rPr>
          <w:rFonts w:hint="default" w:ascii="Times New Roman" w:hAnsi="Times New Roman" w:eastAsia="黑体" w:cs="Times New Roman"/>
          <w:spacing w:val="0"/>
          <w:sz w:val="32"/>
          <w:szCs w:val="32"/>
          <w:lang w:val="en-US" w:eastAsia="zh-CN"/>
        </w:rPr>
        <w:t>铁</w:t>
      </w:r>
    </w:p>
    <w:p>
      <w:pPr>
        <w:pStyle w:val="9"/>
        <w:keepNext w:val="0"/>
        <w:keepLines w:val="0"/>
        <w:pageBreakBefore w:val="0"/>
        <w:widowControl w:val="0"/>
        <w:kinsoku/>
        <w:wordWrap/>
        <w:overflowPunct/>
        <w:topLinePunct w:val="0"/>
        <w:bidi w:val="0"/>
        <w:adjustRightInd/>
        <w:snapToGrid/>
        <w:spacing w:after="0" w:line="594" w:lineRule="exact"/>
        <w:ind w:firstLine="592"/>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铁是人体必需的微量元素。长期铁摄入不足可能会引起体内铁缺乏或导致缺铁性贫血。</w:t>
      </w:r>
      <w:r>
        <w:rPr>
          <w:rFonts w:hint="eastAsia" w:ascii="Times New Roman" w:hAnsi="Times New Roman" w:eastAsia="仿宋_GB2312" w:cs="Times New Roman"/>
          <w:color w:val="auto"/>
          <w:sz w:val="32"/>
          <w:szCs w:val="32"/>
          <w:highlight w:val="none"/>
          <w:lang w:eastAsia="zh-CN"/>
        </w:rPr>
        <w:t>《食品安全国家标准 婴幼儿谷类辅助食品》（GB 10769—2010）中规定，婴幼儿谷类辅助食品中铁含量应在0.25—0.50mg/100kJ范围内；</w:t>
      </w:r>
      <w:r>
        <w:rPr>
          <w:rFonts w:hint="default" w:ascii="Times New Roman" w:hAnsi="Times New Roman" w:eastAsia="仿宋_GB2312" w:cs="Times New Roman"/>
          <w:color w:val="auto"/>
          <w:sz w:val="32"/>
          <w:szCs w:val="32"/>
          <w:lang w:val="en-US" w:eastAsia="zh-CN"/>
        </w:rPr>
        <w:t>《食品安全国家标准 预包装特殊膳食用食品标签》（GB 13432—2013）中规定，在产品保质期内，能量和营养成分的实际含量不应低于标示值的80%。</w:t>
      </w:r>
      <w:r>
        <w:rPr>
          <w:rFonts w:hint="eastAsia" w:ascii="Times New Roman" w:hAnsi="Times New Roman" w:eastAsia="仿宋_GB2312" w:cs="Times New Roman"/>
          <w:sz w:val="32"/>
          <w:szCs w:val="32"/>
          <w:highlight w:val="none"/>
          <w:lang w:val="en-US" w:eastAsia="zh-CN"/>
        </w:rPr>
        <w:t>婴幼儿谷类辅助食品</w:t>
      </w:r>
      <w:r>
        <w:rPr>
          <w:rFonts w:hint="default" w:ascii="Times New Roman" w:hAnsi="Times New Roman" w:eastAsia="仿宋_GB2312" w:cs="Times New Roman"/>
          <w:sz w:val="32"/>
          <w:szCs w:val="32"/>
          <w:lang w:val="en-US" w:eastAsia="zh-CN"/>
        </w:rPr>
        <w:t>中铁含量不达标的原因，可能是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也可能是生产加工过程中搅拌不均匀。</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640" w:firstLineChars="200"/>
        <w:jc w:val="both"/>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三十二、</w:t>
      </w:r>
      <w:r>
        <w:rPr>
          <w:rFonts w:hint="default" w:ascii="Times New Roman" w:hAnsi="Times New Roman" w:eastAsia="黑体" w:cs="Times New Roman"/>
          <w:spacing w:val="0"/>
          <w:sz w:val="32"/>
          <w:szCs w:val="32"/>
          <w:lang w:val="en-US" w:eastAsia="zh-CN"/>
        </w:rPr>
        <w:t>锌</w:t>
      </w:r>
    </w:p>
    <w:p>
      <w:pPr>
        <w:pStyle w:val="9"/>
        <w:keepNext w:val="0"/>
        <w:keepLines w:val="0"/>
        <w:pageBreakBefore w:val="0"/>
        <w:widowControl w:val="0"/>
        <w:kinsoku/>
        <w:wordWrap/>
        <w:overflowPunct/>
        <w:topLinePunct w:val="0"/>
        <w:bidi w:val="0"/>
        <w:snapToGrid/>
        <w:spacing w:after="0" w:line="594" w:lineRule="exact"/>
        <w:ind w:firstLine="59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锌</w:t>
      </w:r>
      <w:r>
        <w:rPr>
          <w:rFonts w:hint="default" w:ascii="Times New Roman" w:hAnsi="Times New Roman" w:eastAsia="仿宋_GB2312" w:cs="Times New Roman"/>
          <w:sz w:val="32"/>
          <w:szCs w:val="32"/>
        </w:rPr>
        <w:t>是人体</w:t>
      </w:r>
      <w:r>
        <w:rPr>
          <w:rFonts w:hint="default" w:ascii="Times New Roman" w:hAnsi="Times New Roman" w:eastAsia="仿宋_GB2312" w:cs="Times New Roman"/>
          <w:sz w:val="32"/>
          <w:szCs w:val="32"/>
          <w:lang w:val="en-US" w:eastAsia="zh-CN"/>
        </w:rPr>
        <w:t>必需</w:t>
      </w:r>
      <w:r>
        <w:rPr>
          <w:rFonts w:hint="default" w:ascii="Times New Roman" w:hAnsi="Times New Roman" w:eastAsia="仿宋_GB2312" w:cs="Times New Roman"/>
          <w:sz w:val="32"/>
          <w:szCs w:val="32"/>
        </w:rPr>
        <w:t>的微量</w:t>
      </w:r>
      <w:r>
        <w:rPr>
          <w:rFonts w:hint="default" w:ascii="Times New Roman" w:hAnsi="Times New Roman" w:eastAsia="仿宋_GB2312" w:cs="Times New Roman"/>
          <w:sz w:val="32"/>
          <w:szCs w:val="32"/>
          <w:lang w:val="en-US" w:eastAsia="zh-CN"/>
        </w:rPr>
        <w:t>元素，对生长发育、免疫功能、物质代谢等均有重要作用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锌缺乏可能导致味觉障碍、生长发育不良、皮肤干燥等症状。《食品安全国家标准 婴幼儿谷类辅助食品》（GB 10769</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2010）中规定，婴幼儿谷类辅助食品中锌含量应在0.17</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0.46mg/100kJ范围内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eastAsia" w:ascii="Times New Roman" w:hAnsi="Times New Roman" w:eastAsia="仿宋_GB2312" w:cs="Times New Roman"/>
          <w:sz w:val="32"/>
          <w:szCs w:val="32"/>
          <w:lang w:val="en-US" w:eastAsia="zh-CN"/>
        </w:rPr>
        <w:t>婴幼儿谷类辅助食品</w:t>
      </w:r>
      <w:r>
        <w:rPr>
          <w:rFonts w:hint="default" w:ascii="Times New Roman" w:hAnsi="Times New Roman" w:eastAsia="仿宋_GB2312" w:cs="Times New Roman"/>
          <w:sz w:val="32"/>
          <w:szCs w:val="32"/>
          <w:lang w:val="en-US" w:eastAsia="zh-CN"/>
        </w:rPr>
        <w:t>中锌含量不达标的原因，</w:t>
      </w:r>
      <w:r>
        <w:rPr>
          <w:rFonts w:hint="default" w:ascii="Times New Roman" w:hAnsi="Times New Roman" w:eastAsia="仿宋_GB2312" w:cs="Times New Roman"/>
          <w:sz w:val="32"/>
          <w:szCs w:val="32"/>
        </w:rPr>
        <w:t>可能是原辅料用食品营养强化剂不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kern w:val="2"/>
          <w:sz w:val="32"/>
          <w:szCs w:val="32"/>
          <w:lang w:val="en-US" w:eastAsia="zh-CN" w:bidi="ar-SA"/>
        </w:rPr>
        <w:t>三</w:t>
      </w:r>
      <w:r>
        <w:rPr>
          <w:rFonts w:hint="eastAsia" w:ascii="Times New Roman" w:hAnsi="Times New Roman" w:eastAsia="黑体" w:cs="Times New Roman"/>
          <w:spacing w:val="0"/>
          <w:kern w:val="2"/>
          <w:sz w:val="32"/>
          <w:szCs w:val="32"/>
          <w:lang w:val="en-US" w:eastAsia="zh-CN" w:bidi="ar-SA"/>
        </w:rPr>
        <w:t>十三</w:t>
      </w:r>
      <w:r>
        <w:rPr>
          <w:rFonts w:hint="default" w:ascii="Times New Roman" w:hAnsi="Times New Roman" w:eastAsia="黑体" w:cs="Times New Roman"/>
          <w:spacing w:val="0"/>
          <w:kern w:val="2"/>
          <w:sz w:val="32"/>
          <w:szCs w:val="32"/>
          <w:lang w:val="en-US" w:eastAsia="zh-CN" w:bidi="ar-SA"/>
        </w:rPr>
        <w:t>、</w:t>
      </w:r>
      <w:r>
        <w:rPr>
          <w:rFonts w:hint="eastAsia" w:ascii="Times New Roman" w:hAnsi="Times New Roman" w:eastAsia="黑体" w:cs="Times New Roman"/>
          <w:spacing w:val="0"/>
          <w:sz w:val="32"/>
          <w:szCs w:val="32"/>
          <w:lang w:val="en-US" w:eastAsia="zh-CN"/>
        </w:rPr>
        <w:t>钠</w:t>
      </w:r>
    </w:p>
    <w:p>
      <w:pPr>
        <w:pStyle w:val="9"/>
        <w:keepNext w:val="0"/>
        <w:keepLines w:val="0"/>
        <w:pageBreakBefore w:val="0"/>
        <w:widowControl w:val="0"/>
        <w:kinsoku/>
        <w:wordWrap/>
        <w:overflowPunct/>
        <w:topLinePunct w:val="0"/>
        <w:bidi w:val="0"/>
        <w:snapToGrid/>
        <w:spacing w:after="0" w:line="594" w:lineRule="exact"/>
        <w:ind w:firstLine="592"/>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钠是人体必需的</w:t>
      </w:r>
      <w:r>
        <w:rPr>
          <w:rFonts w:hint="eastAsia" w:ascii="Times New Roman" w:hAnsi="Times New Roman" w:eastAsia="仿宋_GB2312" w:cs="Times New Roman"/>
          <w:sz w:val="32"/>
          <w:szCs w:val="32"/>
          <w:lang w:val="en-US" w:eastAsia="zh-CN"/>
        </w:rPr>
        <w:t>常量元素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钠离子在体内有助于维持渗透压和酸碱平衡，协助生理功能正常运作</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钠缺乏可能会导致食欲减退、倦怠、恶心呕吐、血压降低等。</w:t>
      </w:r>
      <w:r>
        <w:rPr>
          <w:rFonts w:hint="eastAsia" w:ascii="Times New Roman" w:hAnsi="Times New Roman" w:eastAsia="仿宋_GB2312" w:cs="Times New Roman"/>
          <w:sz w:val="32"/>
          <w:szCs w:val="32"/>
          <w:lang w:eastAsia="zh-CN"/>
        </w:rPr>
        <w:t>《食品安全国家标准 婴幼儿</w:t>
      </w:r>
      <w:r>
        <w:rPr>
          <w:rFonts w:hint="eastAsia" w:ascii="Times New Roman" w:hAnsi="Times New Roman" w:eastAsia="仿宋_GB2312" w:cs="Times New Roman"/>
          <w:sz w:val="32"/>
          <w:szCs w:val="32"/>
          <w:lang w:val="en-US" w:eastAsia="zh-CN"/>
        </w:rPr>
        <w:t>谷类</w:t>
      </w:r>
      <w:r>
        <w:rPr>
          <w:rFonts w:hint="eastAsia" w:ascii="Times New Roman" w:hAnsi="Times New Roman" w:eastAsia="仿宋_GB2312" w:cs="Times New Roman"/>
          <w:sz w:val="32"/>
          <w:szCs w:val="32"/>
          <w:lang w:eastAsia="zh-CN"/>
        </w:rPr>
        <w:t>辅助食品》（GB 107</w:t>
      </w:r>
      <w:r>
        <w:rPr>
          <w:rFonts w:hint="eastAsia" w:ascii="Times New Roman" w:hAnsi="Times New Roman" w:eastAsia="仿宋_GB2312" w:cs="Times New Roman"/>
          <w:sz w:val="32"/>
          <w:szCs w:val="32"/>
          <w:lang w:val="en-US" w:eastAsia="zh-CN"/>
        </w:rPr>
        <w:t>69</w:t>
      </w:r>
      <w:r>
        <w:rPr>
          <w:rFonts w:hint="eastAsia" w:ascii="Times New Roman" w:hAnsi="Times New Roman" w:eastAsia="仿宋_GB2312" w:cs="Times New Roman"/>
          <w:sz w:val="32"/>
          <w:szCs w:val="32"/>
          <w:lang w:eastAsia="zh-CN"/>
        </w:rPr>
        <w:t>—2010）中规定，婴幼儿</w:t>
      </w:r>
      <w:r>
        <w:rPr>
          <w:rFonts w:hint="eastAsia" w:ascii="Times New Roman" w:hAnsi="Times New Roman" w:eastAsia="仿宋_GB2312" w:cs="Times New Roman"/>
          <w:sz w:val="32"/>
          <w:szCs w:val="32"/>
          <w:lang w:val="en-US" w:eastAsia="zh-CN"/>
        </w:rPr>
        <w:t>谷类</w:t>
      </w:r>
      <w:r>
        <w:rPr>
          <w:rFonts w:hint="eastAsia" w:ascii="Times New Roman" w:hAnsi="Times New Roman" w:eastAsia="仿宋_GB2312" w:cs="Times New Roman"/>
          <w:sz w:val="32"/>
          <w:szCs w:val="32"/>
          <w:lang w:eastAsia="zh-CN"/>
        </w:rPr>
        <w:t>辅助食品中</w:t>
      </w:r>
      <w:r>
        <w:rPr>
          <w:rFonts w:hint="eastAsia" w:ascii="Times New Roman" w:hAnsi="Times New Roman" w:eastAsia="仿宋_GB2312" w:cs="Times New Roman"/>
          <w:sz w:val="32"/>
          <w:szCs w:val="32"/>
          <w:lang w:val="en-US" w:eastAsia="zh-CN"/>
        </w:rPr>
        <w:t>钠的</w:t>
      </w:r>
      <w:r>
        <w:rPr>
          <w:rFonts w:hint="eastAsia" w:ascii="Times New Roman" w:hAnsi="Times New Roman" w:eastAsia="仿宋_GB2312" w:cs="Times New Roman"/>
          <w:sz w:val="32"/>
          <w:szCs w:val="32"/>
          <w:lang w:eastAsia="zh-CN"/>
        </w:rPr>
        <w:t>最大含量为</w:t>
      </w:r>
      <w:r>
        <w:rPr>
          <w:rFonts w:hint="eastAsia" w:ascii="Times New Roman" w:hAnsi="Times New Roman" w:eastAsia="仿宋_GB2312" w:cs="Times New Roman"/>
          <w:sz w:val="32"/>
          <w:szCs w:val="32"/>
          <w:lang w:val="en-US" w:eastAsia="zh-CN"/>
        </w:rPr>
        <w:t>24.0m</w:t>
      </w:r>
      <w:r>
        <w:rPr>
          <w:rFonts w:hint="eastAsia" w:ascii="Times New Roman" w:hAnsi="Times New Roman" w:eastAsia="仿宋_GB2312" w:cs="Times New Roman"/>
          <w:sz w:val="32"/>
          <w:szCs w:val="32"/>
          <w:lang w:eastAsia="zh-CN"/>
        </w:rPr>
        <w:t>g/100</w:t>
      </w:r>
      <w:r>
        <w:rPr>
          <w:rFonts w:hint="eastAsia" w:ascii="Times New Roman" w:hAnsi="Times New Roman" w:eastAsia="仿宋_GB2312" w:cs="Times New Roman"/>
          <w:sz w:val="32"/>
          <w:szCs w:val="32"/>
          <w:lang w:val="en-US" w:eastAsia="zh-CN"/>
        </w:rPr>
        <w:t>kJ</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w:t>
      </w:r>
      <w:r>
        <w:rPr>
          <w:rFonts w:hint="eastAsia" w:ascii="Times New Roman" w:hAnsi="Times New Roman" w:eastAsia="仿宋_GB2312" w:cs="Times New Roman"/>
          <w:sz w:val="32"/>
          <w:szCs w:val="32"/>
        </w:rPr>
        <w:t>中规定，</w:t>
      </w:r>
      <w:r>
        <w:rPr>
          <w:rFonts w:hint="eastAsia" w:ascii="Times New Roman" w:hAnsi="Times New Roman" w:eastAsia="仿宋_GB2312" w:cs="Times New Roman"/>
          <w:sz w:val="32"/>
          <w:szCs w:val="32"/>
          <w:lang w:val="en-US" w:eastAsia="zh-CN"/>
        </w:rPr>
        <w:t>没有特别添加钠营养素的运动营养食品中</w:t>
      </w:r>
      <w:r>
        <w:rPr>
          <w:rFonts w:hint="eastAsia" w:ascii="Times New Roman" w:hAnsi="Times New Roman" w:eastAsia="仿宋_GB2312" w:cs="Times New Roman"/>
          <w:sz w:val="32"/>
          <w:szCs w:val="32"/>
        </w:rPr>
        <w:t>钠</w:t>
      </w:r>
      <w:r>
        <w:rPr>
          <w:rFonts w:hint="eastAsia" w:ascii="Times New Roman" w:hAnsi="Times New Roman" w:eastAsia="仿宋_GB2312" w:cs="Times New Roman"/>
          <w:sz w:val="32"/>
          <w:szCs w:val="32"/>
          <w:lang w:eastAsia="zh-CN"/>
        </w:rPr>
        <w:t>的</w:t>
      </w:r>
      <w:r>
        <w:rPr>
          <w:rFonts w:hint="eastAsia" w:ascii="Times New Roman" w:hAnsi="Times New Roman" w:eastAsia="仿宋_GB2312" w:cs="Times New Roman"/>
          <w:sz w:val="32"/>
          <w:szCs w:val="32"/>
          <w:lang w:val="en-US" w:eastAsia="zh-CN"/>
        </w:rPr>
        <w:t>最大含量</w:t>
      </w:r>
      <w:r>
        <w:rPr>
          <w:rFonts w:hint="default" w:ascii="Times New Roman" w:hAnsi="Times New Roman" w:eastAsia="仿宋_GB2312" w:cs="Times New Roman"/>
          <w:sz w:val="32"/>
          <w:szCs w:val="32"/>
          <w:lang w:val="en-US" w:eastAsia="zh-CN"/>
        </w:rPr>
        <w:t>（以每日计）</w:t>
      </w:r>
      <w:r>
        <w:rPr>
          <w:rFonts w:hint="eastAsia" w:ascii="Times New Roman" w:hAnsi="Times New Roman" w:eastAsia="仿宋_GB2312" w:cs="Times New Roman"/>
          <w:sz w:val="32"/>
          <w:szCs w:val="32"/>
        </w:rPr>
        <w:t>为</w:t>
      </w:r>
      <w:r>
        <w:rPr>
          <w:rFonts w:hint="eastAsia" w:ascii="Times New Roman" w:hAnsi="Times New Roman" w:eastAsia="仿宋_GB2312" w:cs="Times New Roman"/>
          <w:sz w:val="32"/>
          <w:szCs w:val="32"/>
          <w:lang w:val="en-US" w:eastAsia="zh-CN"/>
        </w:rPr>
        <w:t>1600</w:t>
      </w:r>
      <w:r>
        <w:rPr>
          <w:rFonts w:hint="eastAsia" w:ascii="Times New Roman" w:hAnsi="Times New Roman" w:eastAsia="仿宋_GB2312" w:cs="Times New Roman"/>
          <w:sz w:val="32"/>
          <w:szCs w:val="32"/>
        </w:rPr>
        <w:t>mg</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w:t>
      </w:r>
      <w:r>
        <w:rPr>
          <w:rFonts w:hint="default" w:ascii="Times New Roman" w:hAnsi="Times New Roman" w:eastAsia="仿宋_GB2312" w:cs="Times New Roman"/>
          <w:sz w:val="32"/>
        </w:rPr>
        <w:t>在产品保质期内，能量和营养成分的实际含量不应低于标示值的80%</w:t>
      </w:r>
      <w:r>
        <w:rPr>
          <w:rFonts w:hint="default" w:ascii="Times New Roman" w:hAnsi="Times New Roman" w:eastAsia="仿宋_GB2312" w:cs="Times New Roman"/>
          <w:sz w:val="32"/>
          <w:lang w:eastAsia="zh-CN"/>
        </w:rPr>
        <w:t>。</w:t>
      </w:r>
      <w:r>
        <w:rPr>
          <w:rFonts w:hint="eastAsia" w:ascii="Times New Roman" w:hAnsi="Times New Roman" w:eastAsia="仿宋_GB2312" w:cs="Times New Roman"/>
          <w:sz w:val="32"/>
          <w:szCs w:val="32"/>
          <w:lang w:val="en-US" w:eastAsia="zh-CN"/>
        </w:rPr>
        <w:t>婴幼儿谷类辅助食品、运动营养食品</w:t>
      </w:r>
      <w:r>
        <w:rPr>
          <w:rFonts w:hint="eastAsia" w:ascii="Times New Roman" w:hAnsi="Times New Roman" w:eastAsia="仿宋_GB2312" w:cs="Times New Roman"/>
          <w:sz w:val="32"/>
          <w:szCs w:val="32"/>
        </w:rPr>
        <w:t>中</w:t>
      </w:r>
      <w:r>
        <w:rPr>
          <w:rFonts w:hint="eastAsia" w:ascii="Times New Roman" w:hAnsi="Times New Roman" w:eastAsia="仿宋_GB2312" w:cs="Times New Roman"/>
          <w:sz w:val="32"/>
          <w:szCs w:val="32"/>
          <w:lang w:val="en-US" w:eastAsia="zh-CN"/>
        </w:rPr>
        <w:t>钠</w:t>
      </w:r>
      <w:r>
        <w:rPr>
          <w:rFonts w:hint="eastAsia" w:ascii="Times New Roman" w:hAnsi="Times New Roman" w:eastAsia="仿宋_GB2312" w:cs="Times New Roman"/>
          <w:sz w:val="32"/>
          <w:szCs w:val="32"/>
        </w:rPr>
        <w:t>含量不达标</w:t>
      </w:r>
      <w:r>
        <w:rPr>
          <w:rFonts w:hint="eastAsia" w:ascii="Times New Roman" w:hAnsi="Times New Roman" w:eastAsia="仿宋_GB2312" w:cs="Times New Roman"/>
          <w:sz w:val="32"/>
          <w:szCs w:val="32"/>
          <w:lang w:eastAsia="zh-CN"/>
        </w:rPr>
        <w:t>的</w:t>
      </w:r>
      <w:r>
        <w:rPr>
          <w:rFonts w:hint="eastAsia" w:ascii="Times New Roman" w:hAnsi="Times New Roman" w:eastAsia="仿宋_GB2312" w:cs="Times New Roman"/>
          <w:sz w:val="32"/>
          <w:szCs w:val="32"/>
        </w:rPr>
        <w:t>原因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rPr>
        <w:t>可能是生产工艺不合理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也可能是产品标签标注不规范</w:t>
      </w:r>
      <w:r>
        <w:rPr>
          <w:rFonts w:ascii="Times New Roman" w:hAnsi="Times New Roman" w:eastAsia="仿宋_GB2312" w:cs="Times New Roman"/>
          <w:sz w:val="32"/>
          <w:szCs w:val="32"/>
        </w:rPr>
        <w:t>。</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spacing w:val="0"/>
          <w:sz w:val="32"/>
          <w:szCs w:val="32"/>
          <w:lang w:val="en-US" w:eastAsia="zh-CN"/>
        </w:rPr>
        <w:t>三十四</w:t>
      </w:r>
      <w:r>
        <w:rPr>
          <w:rFonts w:hint="default" w:ascii="Times New Roman" w:hAnsi="Times New Roman" w:eastAsia="黑体" w:cs="Times New Roman"/>
          <w:spacing w:val="0"/>
          <w:sz w:val="32"/>
          <w:szCs w:val="32"/>
          <w:lang w:val="en-US" w:eastAsia="zh-CN"/>
        </w:rPr>
        <w:t>、</w:t>
      </w:r>
      <w:r>
        <w:rPr>
          <w:rFonts w:hint="default" w:ascii="Times New Roman" w:hAnsi="Times New Roman" w:eastAsia="黑体" w:cs="Times New Roman"/>
          <w:kern w:val="2"/>
          <w:sz w:val="32"/>
          <w:szCs w:val="32"/>
          <w:lang w:val="en-US" w:eastAsia="zh-CN" w:bidi="ar-SA"/>
        </w:rPr>
        <w:t>维生素B</w:t>
      </w:r>
      <w:r>
        <w:rPr>
          <w:rFonts w:hint="default" w:ascii="Times New Roman" w:hAnsi="Times New Roman" w:eastAsia="黑体" w:cs="Times New Roman"/>
          <w:kern w:val="2"/>
          <w:sz w:val="32"/>
          <w:szCs w:val="32"/>
          <w:vertAlign w:val="subscript"/>
          <w:lang w:val="en-US" w:eastAsia="zh-CN" w:bidi="ar-SA"/>
        </w:rPr>
        <w:t>12</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kern w:val="2"/>
          <w:sz w:val="32"/>
          <w:szCs w:val="22"/>
          <w:lang w:val="en-US" w:eastAsia="zh-CN" w:bidi="ar-SA"/>
        </w:rPr>
      </w:pPr>
      <w:r>
        <w:rPr>
          <w:rFonts w:hint="default" w:ascii="Times New Roman" w:hAnsi="Times New Roman" w:eastAsia="仿宋_GB2312" w:cs="Times New Roman"/>
          <w:sz w:val="32"/>
          <w:szCs w:val="32"/>
          <w:lang w:val="en-US" w:eastAsia="zh-CN"/>
        </w:rPr>
        <w:t>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是一种水溶性维生素，主要以辅酶的形式存在并参与体内生化反应。维生素B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是一种预防和治疗恶性贫血的维生素，在人体内参与蛋白质、脂肪和碳水化合物等生物大分子的转化和利用，促进红细胞的发育和成熟。《食品安全国家标准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含量（以每日计）应在0.4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4μg范围内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含量</w:t>
      </w:r>
      <w:r>
        <w:rPr>
          <w:rFonts w:hint="eastAsia" w:ascii="Times New Roman" w:hAnsi="Times New Roman" w:eastAsia="仿宋_GB2312" w:cs="Times New Roman"/>
          <w:sz w:val="32"/>
          <w:szCs w:val="32"/>
          <w:lang w:val="en-US" w:eastAsia="zh-CN"/>
        </w:rPr>
        <w:t>超标</w:t>
      </w:r>
      <w:r>
        <w:rPr>
          <w:rFonts w:hint="default" w:ascii="Times New Roman" w:hAnsi="Times New Roman" w:eastAsia="仿宋_GB2312" w:cs="Times New Roman"/>
          <w:sz w:val="32"/>
          <w:szCs w:val="32"/>
          <w:lang w:val="en-US" w:eastAsia="zh-CN"/>
        </w:rPr>
        <w:t>的原因，可能是生产工艺设置不合理；也可能是生产加工过程中搅拌不均匀。</w:t>
      </w:r>
    </w:p>
    <w:p>
      <w:pPr>
        <w:pStyle w:val="9"/>
        <w:keepNext w:val="0"/>
        <w:keepLines w:val="0"/>
        <w:pageBreakBefore w:val="0"/>
        <w:widowControl w:val="0"/>
        <w:kinsoku/>
        <w:wordWrap/>
        <w:overflowPunct/>
        <w:topLinePunct w:val="0"/>
        <w:autoSpaceDE/>
        <w:autoSpaceDN/>
        <w:bidi w:val="0"/>
        <w:snapToGrid/>
        <w:spacing w:after="0" w:line="594" w:lineRule="exact"/>
        <w:ind w:firstLine="640" w:firstLineChars="200"/>
        <w:textAlignment w:val="auto"/>
        <w:rPr>
          <w:rFonts w:hint="default" w:ascii="Times New Roman" w:hAnsi="Times New Roman" w:eastAsia="黑体" w:cs="Times New Roman"/>
          <w:spacing w:val="0"/>
          <w:kern w:val="2"/>
          <w:sz w:val="32"/>
          <w:szCs w:val="32"/>
          <w:lang w:val="en-US" w:eastAsia="zh-CN" w:bidi="ar-SA"/>
        </w:rPr>
      </w:pPr>
      <w:r>
        <w:rPr>
          <w:rFonts w:hint="eastAsia" w:ascii="Times New Roman" w:hAnsi="Times New Roman" w:eastAsia="黑体" w:cs="Times New Roman"/>
          <w:spacing w:val="0"/>
          <w:sz w:val="32"/>
          <w:szCs w:val="32"/>
          <w:lang w:val="en-US" w:eastAsia="zh-CN"/>
        </w:rPr>
        <w:t>三十五</w:t>
      </w:r>
      <w:r>
        <w:rPr>
          <w:rFonts w:hint="default" w:ascii="Times New Roman" w:hAnsi="Times New Roman" w:eastAsia="黑体" w:cs="Times New Roman"/>
          <w:spacing w:val="0"/>
          <w:sz w:val="32"/>
          <w:szCs w:val="32"/>
          <w:lang w:val="en-US" w:eastAsia="zh-CN"/>
        </w:rPr>
        <w:t>、</w:t>
      </w:r>
      <w:r>
        <w:rPr>
          <w:rFonts w:hint="default" w:ascii="Times New Roman" w:hAnsi="Times New Roman" w:eastAsia="黑体" w:cs="Times New Roman"/>
          <w:spacing w:val="0"/>
          <w:kern w:val="2"/>
          <w:sz w:val="32"/>
          <w:szCs w:val="32"/>
          <w:lang w:val="en-US" w:eastAsia="zh-CN" w:bidi="ar-SA"/>
        </w:rPr>
        <w:t>维生素E</w:t>
      </w:r>
    </w:p>
    <w:p>
      <w:pPr>
        <w:widowControl/>
        <w:spacing w:line="594" w:lineRule="exact"/>
        <w:ind w:firstLine="640" w:firstLineChars="200"/>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sz w:val="32"/>
          <w:szCs w:val="32"/>
          <w:lang w:val="en-US" w:eastAsia="zh-CN"/>
        </w:rPr>
        <w:t>维生素E又名生育酚，是一种重要的脂溶性抗氧化剂。维生素E缺乏可能会导致神经肌肉障碍等。《食品安全国家标准 运动营养食品通则》（GB 24154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2015）中规定，运动营养食品中维生素E含量（以每日计）应在2.1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20mg α-TE范围内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运动营养食品中维生素E含量不达标的原因，可能是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pPr>
        <w:spacing w:line="594" w:lineRule="exact"/>
        <w:ind w:firstLine="640" w:firstLineChars="200"/>
        <w:rPr>
          <w:rFonts w:hint="eastAsia" w:ascii="黑体" w:hAnsi="黑体" w:eastAsia="黑体" w:cs="Times New Roman"/>
          <w:spacing w:val="0"/>
          <w:sz w:val="32"/>
          <w:szCs w:val="32"/>
          <w:lang w:eastAsia="zh-CN"/>
        </w:rPr>
      </w:pPr>
      <w:r>
        <w:rPr>
          <w:rFonts w:hint="eastAsia" w:eastAsia="黑体"/>
          <w:spacing w:val="0"/>
          <w:sz w:val="32"/>
          <w:szCs w:val="32"/>
          <w:lang w:val="en-US" w:eastAsia="zh-CN"/>
        </w:rPr>
        <w:t>三十六、酒精度</w:t>
      </w:r>
    </w:p>
    <w:p>
      <w:pPr>
        <w:pStyle w:val="9"/>
        <w:adjustRightInd/>
        <w:spacing w:after="0" w:line="594"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酒精度又叫酒度，是指在20℃时，100毫升酒中含有乙醇（酒精）的毫升数，即体积（容量）的百分数。酒精度是酒类产品的一个重要理化指标，主要反映产品品质。目前酒类中酒精度暂无食品安全国家标准要求，主要由相关产品执行标准要求规定，《白酒质量要求 第2部分：清香型白酒》（GB/T 10781.2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2022）中规定，酒精度实测值与标签标示值允许差为</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1.0%vol；《黄酒》（GB/T 13662</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2018）中规定，酒精度标签所示值与实测值之间差为±1.0%vol。酒精度</w:t>
      </w:r>
      <w:r>
        <w:rPr>
          <w:rFonts w:hint="eastAsia" w:ascii="Times New Roman" w:hAnsi="Times New Roman" w:eastAsia="仿宋_GB2312" w:cs="Times New Roman"/>
          <w:sz w:val="32"/>
          <w:szCs w:val="32"/>
          <w:lang w:val="en-US" w:eastAsia="zh-CN"/>
        </w:rPr>
        <w:t>数</w:t>
      </w:r>
      <w:r>
        <w:rPr>
          <w:rFonts w:hint="default" w:ascii="Times New Roman" w:hAnsi="Times New Roman" w:eastAsia="仿宋_GB2312" w:cs="Times New Roman"/>
          <w:sz w:val="32"/>
          <w:szCs w:val="32"/>
          <w:lang w:val="en-US" w:eastAsia="zh-CN"/>
        </w:rPr>
        <w:t>不符合产品明示标准要求的原因，可能是企业生产工艺控制不严或生产工艺水平较低，无法准确控制酒精度；也可能是生产企业检验器具未检定或检验过程不规范，造成出厂检验结果有偏差。</w:t>
      </w:r>
    </w:p>
    <w:p>
      <w:pPr>
        <w:pStyle w:val="9"/>
        <w:adjustRightInd/>
        <w:spacing w:after="0" w:line="594" w:lineRule="exact"/>
        <w:ind w:firstLine="640" w:firstLineChars="200"/>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大宋简">
    <w:panose1 w:val="02010609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lang w:val="zh-CN"/>
      </w:rPr>
    </w:sdtEndPr>
    <w:sdtContent>
      <w:p>
        <w:pPr>
          <w:pStyle w:val="5"/>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Nzk0NGJjYjlhZTdmZjU0YmM5NTY3ODhkYTUwMzcifQ=="/>
  </w:docVars>
  <w:rsids>
    <w:rsidRoot w:val="052446EE"/>
    <w:rsid w:val="00020497"/>
    <w:rsid w:val="00024C6D"/>
    <w:rsid w:val="00043432"/>
    <w:rsid w:val="00043867"/>
    <w:rsid w:val="00053AE6"/>
    <w:rsid w:val="00083C9A"/>
    <w:rsid w:val="000A1FB4"/>
    <w:rsid w:val="000B21AE"/>
    <w:rsid w:val="000B4026"/>
    <w:rsid w:val="000B4DAD"/>
    <w:rsid w:val="000C502F"/>
    <w:rsid w:val="000C6083"/>
    <w:rsid w:val="000D1C58"/>
    <w:rsid w:val="000D34F7"/>
    <w:rsid w:val="000F7117"/>
    <w:rsid w:val="0010216A"/>
    <w:rsid w:val="00107958"/>
    <w:rsid w:val="00110259"/>
    <w:rsid w:val="001220AD"/>
    <w:rsid w:val="00123FF4"/>
    <w:rsid w:val="00131A76"/>
    <w:rsid w:val="0013226B"/>
    <w:rsid w:val="0015275C"/>
    <w:rsid w:val="001727C1"/>
    <w:rsid w:val="00177381"/>
    <w:rsid w:val="0019592F"/>
    <w:rsid w:val="001C1A51"/>
    <w:rsid w:val="001D168E"/>
    <w:rsid w:val="001D3191"/>
    <w:rsid w:val="001E3878"/>
    <w:rsid w:val="001E40B2"/>
    <w:rsid w:val="001F4428"/>
    <w:rsid w:val="001F5BDC"/>
    <w:rsid w:val="0024004A"/>
    <w:rsid w:val="00242E9A"/>
    <w:rsid w:val="00244971"/>
    <w:rsid w:val="0025796E"/>
    <w:rsid w:val="002849D1"/>
    <w:rsid w:val="00287BFF"/>
    <w:rsid w:val="002A1219"/>
    <w:rsid w:val="002A2616"/>
    <w:rsid w:val="002A3534"/>
    <w:rsid w:val="002D0E99"/>
    <w:rsid w:val="002D2E25"/>
    <w:rsid w:val="00305C48"/>
    <w:rsid w:val="00312A7A"/>
    <w:rsid w:val="0033388D"/>
    <w:rsid w:val="003347AE"/>
    <w:rsid w:val="00336B1D"/>
    <w:rsid w:val="00343C07"/>
    <w:rsid w:val="00363809"/>
    <w:rsid w:val="00375893"/>
    <w:rsid w:val="00390C6C"/>
    <w:rsid w:val="003B1570"/>
    <w:rsid w:val="003C27DE"/>
    <w:rsid w:val="003F22EE"/>
    <w:rsid w:val="00415A66"/>
    <w:rsid w:val="00423285"/>
    <w:rsid w:val="00434D14"/>
    <w:rsid w:val="00452EBB"/>
    <w:rsid w:val="0049668F"/>
    <w:rsid w:val="004A228F"/>
    <w:rsid w:val="004B4C0B"/>
    <w:rsid w:val="004C3F64"/>
    <w:rsid w:val="004F17CC"/>
    <w:rsid w:val="0050201A"/>
    <w:rsid w:val="00503C7B"/>
    <w:rsid w:val="00533D1D"/>
    <w:rsid w:val="005557BE"/>
    <w:rsid w:val="00560DD5"/>
    <w:rsid w:val="0056128C"/>
    <w:rsid w:val="005A1446"/>
    <w:rsid w:val="005B036E"/>
    <w:rsid w:val="005C72E8"/>
    <w:rsid w:val="005E1899"/>
    <w:rsid w:val="005E36FE"/>
    <w:rsid w:val="005E5714"/>
    <w:rsid w:val="005F4FE7"/>
    <w:rsid w:val="006000A5"/>
    <w:rsid w:val="00601F5C"/>
    <w:rsid w:val="0062795C"/>
    <w:rsid w:val="006417C9"/>
    <w:rsid w:val="00674436"/>
    <w:rsid w:val="00681D0D"/>
    <w:rsid w:val="00687989"/>
    <w:rsid w:val="006E2F89"/>
    <w:rsid w:val="006E6218"/>
    <w:rsid w:val="006F0D6D"/>
    <w:rsid w:val="006F22C8"/>
    <w:rsid w:val="006F3B40"/>
    <w:rsid w:val="00704F64"/>
    <w:rsid w:val="00725909"/>
    <w:rsid w:val="007400B0"/>
    <w:rsid w:val="00751527"/>
    <w:rsid w:val="007535B9"/>
    <w:rsid w:val="007576ED"/>
    <w:rsid w:val="00760BDF"/>
    <w:rsid w:val="0077656B"/>
    <w:rsid w:val="007822C5"/>
    <w:rsid w:val="00792534"/>
    <w:rsid w:val="007C73DC"/>
    <w:rsid w:val="007D0852"/>
    <w:rsid w:val="007F55A3"/>
    <w:rsid w:val="007F6A2F"/>
    <w:rsid w:val="00802F57"/>
    <w:rsid w:val="00812F54"/>
    <w:rsid w:val="008270FB"/>
    <w:rsid w:val="0082773A"/>
    <w:rsid w:val="00895609"/>
    <w:rsid w:val="008A22C6"/>
    <w:rsid w:val="008A2568"/>
    <w:rsid w:val="008C1383"/>
    <w:rsid w:val="008C3F7A"/>
    <w:rsid w:val="008D3AA0"/>
    <w:rsid w:val="008E762E"/>
    <w:rsid w:val="008F0056"/>
    <w:rsid w:val="00903A84"/>
    <w:rsid w:val="00906A8C"/>
    <w:rsid w:val="00933FC6"/>
    <w:rsid w:val="00950CBE"/>
    <w:rsid w:val="009568FF"/>
    <w:rsid w:val="00967245"/>
    <w:rsid w:val="00980954"/>
    <w:rsid w:val="009809DA"/>
    <w:rsid w:val="00981C27"/>
    <w:rsid w:val="009941B3"/>
    <w:rsid w:val="009D2294"/>
    <w:rsid w:val="009D56C5"/>
    <w:rsid w:val="009E2E64"/>
    <w:rsid w:val="009F42E5"/>
    <w:rsid w:val="009F75A8"/>
    <w:rsid w:val="00A0189E"/>
    <w:rsid w:val="00A12057"/>
    <w:rsid w:val="00A655ED"/>
    <w:rsid w:val="00A72D59"/>
    <w:rsid w:val="00A819D9"/>
    <w:rsid w:val="00A858FD"/>
    <w:rsid w:val="00A8639F"/>
    <w:rsid w:val="00AE2978"/>
    <w:rsid w:val="00AE3415"/>
    <w:rsid w:val="00AE4163"/>
    <w:rsid w:val="00AE443A"/>
    <w:rsid w:val="00AF3D26"/>
    <w:rsid w:val="00B02836"/>
    <w:rsid w:val="00B17403"/>
    <w:rsid w:val="00B26756"/>
    <w:rsid w:val="00B30079"/>
    <w:rsid w:val="00B342D4"/>
    <w:rsid w:val="00B46A7C"/>
    <w:rsid w:val="00B56A64"/>
    <w:rsid w:val="00B734B6"/>
    <w:rsid w:val="00B82BD1"/>
    <w:rsid w:val="00B83167"/>
    <w:rsid w:val="00B876A6"/>
    <w:rsid w:val="00BA50EB"/>
    <w:rsid w:val="00BE4729"/>
    <w:rsid w:val="00C05D47"/>
    <w:rsid w:val="00C10FA4"/>
    <w:rsid w:val="00C22080"/>
    <w:rsid w:val="00C277F9"/>
    <w:rsid w:val="00C35F32"/>
    <w:rsid w:val="00C425FB"/>
    <w:rsid w:val="00C47869"/>
    <w:rsid w:val="00C52899"/>
    <w:rsid w:val="00C53768"/>
    <w:rsid w:val="00C71CF8"/>
    <w:rsid w:val="00C82E32"/>
    <w:rsid w:val="00C95DA4"/>
    <w:rsid w:val="00CD2658"/>
    <w:rsid w:val="00CD5EC3"/>
    <w:rsid w:val="00CE26B0"/>
    <w:rsid w:val="00CE296E"/>
    <w:rsid w:val="00D026A1"/>
    <w:rsid w:val="00D0282A"/>
    <w:rsid w:val="00D02ED8"/>
    <w:rsid w:val="00D172AA"/>
    <w:rsid w:val="00D17FA8"/>
    <w:rsid w:val="00D221B8"/>
    <w:rsid w:val="00D25ABD"/>
    <w:rsid w:val="00D407AC"/>
    <w:rsid w:val="00D44653"/>
    <w:rsid w:val="00D550F5"/>
    <w:rsid w:val="00D716C1"/>
    <w:rsid w:val="00D75D39"/>
    <w:rsid w:val="00D940B0"/>
    <w:rsid w:val="00DB0F7D"/>
    <w:rsid w:val="00DB3515"/>
    <w:rsid w:val="00DB7633"/>
    <w:rsid w:val="00DB7982"/>
    <w:rsid w:val="00DC4018"/>
    <w:rsid w:val="00DD03EA"/>
    <w:rsid w:val="00DD59C8"/>
    <w:rsid w:val="00DD7C24"/>
    <w:rsid w:val="00E01EB3"/>
    <w:rsid w:val="00E07B1F"/>
    <w:rsid w:val="00E16D89"/>
    <w:rsid w:val="00E45266"/>
    <w:rsid w:val="00E5453C"/>
    <w:rsid w:val="00E54EE8"/>
    <w:rsid w:val="00E651D8"/>
    <w:rsid w:val="00E66BDB"/>
    <w:rsid w:val="00E721EF"/>
    <w:rsid w:val="00E73511"/>
    <w:rsid w:val="00E81D4E"/>
    <w:rsid w:val="00E90919"/>
    <w:rsid w:val="00EA2C6D"/>
    <w:rsid w:val="00EB1898"/>
    <w:rsid w:val="00EB2DC4"/>
    <w:rsid w:val="00ED0033"/>
    <w:rsid w:val="00EE4D2C"/>
    <w:rsid w:val="00EF6290"/>
    <w:rsid w:val="00F009DD"/>
    <w:rsid w:val="00F10843"/>
    <w:rsid w:val="00F129A7"/>
    <w:rsid w:val="00F1663E"/>
    <w:rsid w:val="00F407C3"/>
    <w:rsid w:val="00F502BA"/>
    <w:rsid w:val="00F73C8B"/>
    <w:rsid w:val="00F748C1"/>
    <w:rsid w:val="00F84AAD"/>
    <w:rsid w:val="00F935EF"/>
    <w:rsid w:val="00F94FE6"/>
    <w:rsid w:val="00FA2106"/>
    <w:rsid w:val="00FA4809"/>
    <w:rsid w:val="00FB1217"/>
    <w:rsid w:val="00FB53DF"/>
    <w:rsid w:val="00FB60C0"/>
    <w:rsid w:val="01521B81"/>
    <w:rsid w:val="01A56D4B"/>
    <w:rsid w:val="01C40DDD"/>
    <w:rsid w:val="022306C8"/>
    <w:rsid w:val="02661E94"/>
    <w:rsid w:val="027A5D95"/>
    <w:rsid w:val="028D1A14"/>
    <w:rsid w:val="02EE52CA"/>
    <w:rsid w:val="03130978"/>
    <w:rsid w:val="038F0445"/>
    <w:rsid w:val="03A414C8"/>
    <w:rsid w:val="03F93ABC"/>
    <w:rsid w:val="04025BED"/>
    <w:rsid w:val="04185E25"/>
    <w:rsid w:val="04294F27"/>
    <w:rsid w:val="043132CE"/>
    <w:rsid w:val="04B16515"/>
    <w:rsid w:val="04C47CFA"/>
    <w:rsid w:val="052446EE"/>
    <w:rsid w:val="052567B4"/>
    <w:rsid w:val="053242B0"/>
    <w:rsid w:val="05462D97"/>
    <w:rsid w:val="05486422"/>
    <w:rsid w:val="055E15B3"/>
    <w:rsid w:val="05907CAB"/>
    <w:rsid w:val="06A61BD4"/>
    <w:rsid w:val="06A71C34"/>
    <w:rsid w:val="06FC4B75"/>
    <w:rsid w:val="070639D0"/>
    <w:rsid w:val="0722265B"/>
    <w:rsid w:val="07265873"/>
    <w:rsid w:val="0780615A"/>
    <w:rsid w:val="07A30962"/>
    <w:rsid w:val="07DA160B"/>
    <w:rsid w:val="07DC16F6"/>
    <w:rsid w:val="081C479D"/>
    <w:rsid w:val="084F41B0"/>
    <w:rsid w:val="08744366"/>
    <w:rsid w:val="089E37AF"/>
    <w:rsid w:val="09175AF5"/>
    <w:rsid w:val="09227595"/>
    <w:rsid w:val="09FE6495"/>
    <w:rsid w:val="0AAD48BF"/>
    <w:rsid w:val="0AC442D1"/>
    <w:rsid w:val="0ADC3742"/>
    <w:rsid w:val="0B0F0BB5"/>
    <w:rsid w:val="0B107A4A"/>
    <w:rsid w:val="0B437A81"/>
    <w:rsid w:val="0B7A1C33"/>
    <w:rsid w:val="0BAC1F15"/>
    <w:rsid w:val="0BC8771C"/>
    <w:rsid w:val="0BCB7477"/>
    <w:rsid w:val="0BCF39F7"/>
    <w:rsid w:val="0C2A1C3C"/>
    <w:rsid w:val="0C2D133B"/>
    <w:rsid w:val="0C364B74"/>
    <w:rsid w:val="0C476D67"/>
    <w:rsid w:val="0CB80C50"/>
    <w:rsid w:val="0CD40A10"/>
    <w:rsid w:val="0CF0645F"/>
    <w:rsid w:val="0D7B670C"/>
    <w:rsid w:val="0DAC348B"/>
    <w:rsid w:val="0E092D0B"/>
    <w:rsid w:val="0EB456BA"/>
    <w:rsid w:val="0EC81837"/>
    <w:rsid w:val="0EDA7A01"/>
    <w:rsid w:val="0F5238B5"/>
    <w:rsid w:val="0FEB509E"/>
    <w:rsid w:val="0FF5732E"/>
    <w:rsid w:val="0FFF6C37"/>
    <w:rsid w:val="102D3FF1"/>
    <w:rsid w:val="1032287E"/>
    <w:rsid w:val="103364D3"/>
    <w:rsid w:val="105542C0"/>
    <w:rsid w:val="10625608"/>
    <w:rsid w:val="108233AD"/>
    <w:rsid w:val="109070A8"/>
    <w:rsid w:val="10A511DC"/>
    <w:rsid w:val="10C75499"/>
    <w:rsid w:val="10F93D79"/>
    <w:rsid w:val="111C434C"/>
    <w:rsid w:val="11A245C9"/>
    <w:rsid w:val="11A552D9"/>
    <w:rsid w:val="11AD305F"/>
    <w:rsid w:val="12076629"/>
    <w:rsid w:val="122E1D99"/>
    <w:rsid w:val="12C90538"/>
    <w:rsid w:val="12D22C2E"/>
    <w:rsid w:val="12F72E14"/>
    <w:rsid w:val="12FD4DF0"/>
    <w:rsid w:val="130B5CD4"/>
    <w:rsid w:val="133001AE"/>
    <w:rsid w:val="134D526F"/>
    <w:rsid w:val="13971551"/>
    <w:rsid w:val="14D86DA1"/>
    <w:rsid w:val="15044CA6"/>
    <w:rsid w:val="156E0206"/>
    <w:rsid w:val="160A5910"/>
    <w:rsid w:val="164A4168"/>
    <w:rsid w:val="16BB447B"/>
    <w:rsid w:val="16E342D2"/>
    <w:rsid w:val="17033CEF"/>
    <w:rsid w:val="1722569F"/>
    <w:rsid w:val="178C1298"/>
    <w:rsid w:val="17CE2081"/>
    <w:rsid w:val="18B17C05"/>
    <w:rsid w:val="19067FF8"/>
    <w:rsid w:val="195E164B"/>
    <w:rsid w:val="196B1D4E"/>
    <w:rsid w:val="19977A4A"/>
    <w:rsid w:val="19D6063F"/>
    <w:rsid w:val="19DD082F"/>
    <w:rsid w:val="1A907481"/>
    <w:rsid w:val="1AD508F6"/>
    <w:rsid w:val="1AEC7B0C"/>
    <w:rsid w:val="1B03607B"/>
    <w:rsid w:val="1B2E77B1"/>
    <w:rsid w:val="1B3D7278"/>
    <w:rsid w:val="1B7E4CF9"/>
    <w:rsid w:val="1C2A3D09"/>
    <w:rsid w:val="1CCD272D"/>
    <w:rsid w:val="1CD94E78"/>
    <w:rsid w:val="1CE5696D"/>
    <w:rsid w:val="1D513069"/>
    <w:rsid w:val="1D6C2FCD"/>
    <w:rsid w:val="1DA014D7"/>
    <w:rsid w:val="1DA97C4C"/>
    <w:rsid w:val="1DF6698D"/>
    <w:rsid w:val="1E0B5C9C"/>
    <w:rsid w:val="1E1A3721"/>
    <w:rsid w:val="1E37319B"/>
    <w:rsid w:val="1E9157FB"/>
    <w:rsid w:val="1ECF2759"/>
    <w:rsid w:val="1F961D6E"/>
    <w:rsid w:val="1FA03EF4"/>
    <w:rsid w:val="1FCF0608"/>
    <w:rsid w:val="1FF5604A"/>
    <w:rsid w:val="1FF77807"/>
    <w:rsid w:val="203D0B3D"/>
    <w:rsid w:val="20582274"/>
    <w:rsid w:val="2059449C"/>
    <w:rsid w:val="20BC665B"/>
    <w:rsid w:val="20BF196C"/>
    <w:rsid w:val="20C11697"/>
    <w:rsid w:val="20DF2D7E"/>
    <w:rsid w:val="20E97796"/>
    <w:rsid w:val="21372698"/>
    <w:rsid w:val="215701F0"/>
    <w:rsid w:val="21991D50"/>
    <w:rsid w:val="2298310D"/>
    <w:rsid w:val="22E67475"/>
    <w:rsid w:val="2340612E"/>
    <w:rsid w:val="239D06F1"/>
    <w:rsid w:val="23A75855"/>
    <w:rsid w:val="23D113E8"/>
    <w:rsid w:val="24235EAA"/>
    <w:rsid w:val="24762C28"/>
    <w:rsid w:val="247A6FAA"/>
    <w:rsid w:val="249D47DC"/>
    <w:rsid w:val="25124A75"/>
    <w:rsid w:val="25850A9E"/>
    <w:rsid w:val="259E23E3"/>
    <w:rsid w:val="26314ACD"/>
    <w:rsid w:val="266C5903"/>
    <w:rsid w:val="26846429"/>
    <w:rsid w:val="269D741C"/>
    <w:rsid w:val="26B71989"/>
    <w:rsid w:val="27584E00"/>
    <w:rsid w:val="275A07ED"/>
    <w:rsid w:val="27894434"/>
    <w:rsid w:val="27B8270D"/>
    <w:rsid w:val="27C43035"/>
    <w:rsid w:val="27CF1A25"/>
    <w:rsid w:val="28501F15"/>
    <w:rsid w:val="28CC6DE2"/>
    <w:rsid w:val="2924792E"/>
    <w:rsid w:val="294A7F7D"/>
    <w:rsid w:val="29F504F1"/>
    <w:rsid w:val="29F8276D"/>
    <w:rsid w:val="29FB7D70"/>
    <w:rsid w:val="2A4672BA"/>
    <w:rsid w:val="2A53594F"/>
    <w:rsid w:val="2A6F4459"/>
    <w:rsid w:val="2ABF7615"/>
    <w:rsid w:val="2AEB7548"/>
    <w:rsid w:val="2AF42F2E"/>
    <w:rsid w:val="2B390248"/>
    <w:rsid w:val="2BCB7237"/>
    <w:rsid w:val="2BD07C59"/>
    <w:rsid w:val="2C1205D9"/>
    <w:rsid w:val="2CD74E22"/>
    <w:rsid w:val="2CE70F66"/>
    <w:rsid w:val="2D64060D"/>
    <w:rsid w:val="2D7D16EA"/>
    <w:rsid w:val="2DA62CE5"/>
    <w:rsid w:val="2E1F3F87"/>
    <w:rsid w:val="2E25104B"/>
    <w:rsid w:val="2E4243E1"/>
    <w:rsid w:val="2ECD0714"/>
    <w:rsid w:val="2F033EB0"/>
    <w:rsid w:val="2F197EB6"/>
    <w:rsid w:val="2F2C68FC"/>
    <w:rsid w:val="2F712A79"/>
    <w:rsid w:val="2F9A4E1E"/>
    <w:rsid w:val="2F9B35E3"/>
    <w:rsid w:val="2FD50154"/>
    <w:rsid w:val="2FDD066F"/>
    <w:rsid w:val="2FF4710F"/>
    <w:rsid w:val="302C3947"/>
    <w:rsid w:val="30706BFB"/>
    <w:rsid w:val="30730D18"/>
    <w:rsid w:val="308001C6"/>
    <w:rsid w:val="308A30FA"/>
    <w:rsid w:val="30AC7B38"/>
    <w:rsid w:val="30EE7B7F"/>
    <w:rsid w:val="31252E3F"/>
    <w:rsid w:val="318B5860"/>
    <w:rsid w:val="31B405DF"/>
    <w:rsid w:val="31FD11FC"/>
    <w:rsid w:val="32A67649"/>
    <w:rsid w:val="338259C4"/>
    <w:rsid w:val="33844E91"/>
    <w:rsid w:val="339A091A"/>
    <w:rsid w:val="33BA14BA"/>
    <w:rsid w:val="33ED2D65"/>
    <w:rsid w:val="34151A1C"/>
    <w:rsid w:val="342D7174"/>
    <w:rsid w:val="34516D2E"/>
    <w:rsid w:val="34B86E31"/>
    <w:rsid w:val="34DB4439"/>
    <w:rsid w:val="34F97B15"/>
    <w:rsid w:val="358F3E74"/>
    <w:rsid w:val="35AE42B6"/>
    <w:rsid w:val="35B553BC"/>
    <w:rsid w:val="35EC612F"/>
    <w:rsid w:val="36256509"/>
    <w:rsid w:val="36AD5E36"/>
    <w:rsid w:val="36B30709"/>
    <w:rsid w:val="36BB0136"/>
    <w:rsid w:val="36BB4D35"/>
    <w:rsid w:val="3763411B"/>
    <w:rsid w:val="37E01180"/>
    <w:rsid w:val="37E56DDC"/>
    <w:rsid w:val="37F900FD"/>
    <w:rsid w:val="383F0A08"/>
    <w:rsid w:val="38933D71"/>
    <w:rsid w:val="389D7FD9"/>
    <w:rsid w:val="38AA3B42"/>
    <w:rsid w:val="392A1904"/>
    <w:rsid w:val="392E7281"/>
    <w:rsid w:val="394C2E8B"/>
    <w:rsid w:val="395E00B1"/>
    <w:rsid w:val="39673EBA"/>
    <w:rsid w:val="3A4A0926"/>
    <w:rsid w:val="3A52468E"/>
    <w:rsid w:val="3A8A5A19"/>
    <w:rsid w:val="3AA478AB"/>
    <w:rsid w:val="3B2D45F6"/>
    <w:rsid w:val="3B5B0921"/>
    <w:rsid w:val="3C2512EE"/>
    <w:rsid w:val="3C3812CC"/>
    <w:rsid w:val="3C432FF1"/>
    <w:rsid w:val="3C4B12A5"/>
    <w:rsid w:val="3C4D2E8B"/>
    <w:rsid w:val="3C81270D"/>
    <w:rsid w:val="3CA060DC"/>
    <w:rsid w:val="3CE766A7"/>
    <w:rsid w:val="3D54210C"/>
    <w:rsid w:val="3DD57988"/>
    <w:rsid w:val="3E56682C"/>
    <w:rsid w:val="3ED05834"/>
    <w:rsid w:val="3EF229BA"/>
    <w:rsid w:val="3F064ECA"/>
    <w:rsid w:val="3F42581D"/>
    <w:rsid w:val="3FA01312"/>
    <w:rsid w:val="3FED319C"/>
    <w:rsid w:val="3FF74699"/>
    <w:rsid w:val="401234CD"/>
    <w:rsid w:val="405B301B"/>
    <w:rsid w:val="408B4949"/>
    <w:rsid w:val="40F962F7"/>
    <w:rsid w:val="41025C20"/>
    <w:rsid w:val="411B6563"/>
    <w:rsid w:val="41344E6E"/>
    <w:rsid w:val="41994A06"/>
    <w:rsid w:val="4218656A"/>
    <w:rsid w:val="4236267D"/>
    <w:rsid w:val="42590783"/>
    <w:rsid w:val="42843858"/>
    <w:rsid w:val="42BC2694"/>
    <w:rsid w:val="42C6205B"/>
    <w:rsid w:val="43AF5096"/>
    <w:rsid w:val="43ED18D3"/>
    <w:rsid w:val="44120B90"/>
    <w:rsid w:val="446C036D"/>
    <w:rsid w:val="448604CB"/>
    <w:rsid w:val="44921DE2"/>
    <w:rsid w:val="4493451F"/>
    <w:rsid w:val="44CE64DA"/>
    <w:rsid w:val="44DE50C7"/>
    <w:rsid w:val="452A2755"/>
    <w:rsid w:val="45562D9B"/>
    <w:rsid w:val="458C5588"/>
    <w:rsid w:val="45AF268C"/>
    <w:rsid w:val="45C416A7"/>
    <w:rsid w:val="460962CF"/>
    <w:rsid w:val="463A646A"/>
    <w:rsid w:val="46994A91"/>
    <w:rsid w:val="46CC3297"/>
    <w:rsid w:val="471E6356"/>
    <w:rsid w:val="47230740"/>
    <w:rsid w:val="47242D51"/>
    <w:rsid w:val="47D450E7"/>
    <w:rsid w:val="47D93B1F"/>
    <w:rsid w:val="48CD06B6"/>
    <w:rsid w:val="48CE02C4"/>
    <w:rsid w:val="48D63B60"/>
    <w:rsid w:val="48F615AA"/>
    <w:rsid w:val="490A2BDA"/>
    <w:rsid w:val="491E2B74"/>
    <w:rsid w:val="493B6E40"/>
    <w:rsid w:val="494C3F8C"/>
    <w:rsid w:val="494E4E79"/>
    <w:rsid w:val="49500E7F"/>
    <w:rsid w:val="495138DA"/>
    <w:rsid w:val="497763FD"/>
    <w:rsid w:val="49B00079"/>
    <w:rsid w:val="49BD4A24"/>
    <w:rsid w:val="49D57EE1"/>
    <w:rsid w:val="4A2B2399"/>
    <w:rsid w:val="4A612A04"/>
    <w:rsid w:val="4A835AE0"/>
    <w:rsid w:val="4ADC5E51"/>
    <w:rsid w:val="4B5D2CD5"/>
    <w:rsid w:val="4C544655"/>
    <w:rsid w:val="4C904C34"/>
    <w:rsid w:val="4C9204E2"/>
    <w:rsid w:val="4C95329C"/>
    <w:rsid w:val="4CA036CC"/>
    <w:rsid w:val="4CAE2F0F"/>
    <w:rsid w:val="4CB7255F"/>
    <w:rsid w:val="4D2968B7"/>
    <w:rsid w:val="4D5B1BD1"/>
    <w:rsid w:val="4D61085B"/>
    <w:rsid w:val="4D96357F"/>
    <w:rsid w:val="4DF711BF"/>
    <w:rsid w:val="4E196222"/>
    <w:rsid w:val="4E8159AF"/>
    <w:rsid w:val="4ED53EED"/>
    <w:rsid w:val="4EF14EDB"/>
    <w:rsid w:val="4EFB0F58"/>
    <w:rsid w:val="4F69410F"/>
    <w:rsid w:val="4F864951"/>
    <w:rsid w:val="4FAF363F"/>
    <w:rsid w:val="4FDF48D9"/>
    <w:rsid w:val="4FE173F8"/>
    <w:rsid w:val="50147C53"/>
    <w:rsid w:val="509C264D"/>
    <w:rsid w:val="50A6290C"/>
    <w:rsid w:val="50B25B41"/>
    <w:rsid w:val="50BC54AF"/>
    <w:rsid w:val="514C2084"/>
    <w:rsid w:val="51861C65"/>
    <w:rsid w:val="51B24EEC"/>
    <w:rsid w:val="51B43769"/>
    <w:rsid w:val="51BC1E2A"/>
    <w:rsid w:val="51F05D16"/>
    <w:rsid w:val="528A11AE"/>
    <w:rsid w:val="52A07CC6"/>
    <w:rsid w:val="52F04014"/>
    <w:rsid w:val="52FD335B"/>
    <w:rsid w:val="532062CE"/>
    <w:rsid w:val="532C26E6"/>
    <w:rsid w:val="533407C0"/>
    <w:rsid w:val="5387412A"/>
    <w:rsid w:val="53FD2F44"/>
    <w:rsid w:val="53FF0DCE"/>
    <w:rsid w:val="543A66FB"/>
    <w:rsid w:val="54544D6D"/>
    <w:rsid w:val="545804DE"/>
    <w:rsid w:val="548D4260"/>
    <w:rsid w:val="549064CF"/>
    <w:rsid w:val="54D819BB"/>
    <w:rsid w:val="55BF59F4"/>
    <w:rsid w:val="55E05282"/>
    <w:rsid w:val="56110C8E"/>
    <w:rsid w:val="564660C6"/>
    <w:rsid w:val="56A276D0"/>
    <w:rsid w:val="56CD4EBA"/>
    <w:rsid w:val="576E53FC"/>
    <w:rsid w:val="57B03788"/>
    <w:rsid w:val="57E966D0"/>
    <w:rsid w:val="57F401E5"/>
    <w:rsid w:val="580C5E2D"/>
    <w:rsid w:val="58184493"/>
    <w:rsid w:val="586C779B"/>
    <w:rsid w:val="58873140"/>
    <w:rsid w:val="588C340E"/>
    <w:rsid w:val="58A7355C"/>
    <w:rsid w:val="58EC7F03"/>
    <w:rsid w:val="58F76D4A"/>
    <w:rsid w:val="5917309A"/>
    <w:rsid w:val="592526F4"/>
    <w:rsid w:val="593443AA"/>
    <w:rsid w:val="59840098"/>
    <w:rsid w:val="59C949EC"/>
    <w:rsid w:val="59D04F91"/>
    <w:rsid w:val="5AA67CB1"/>
    <w:rsid w:val="5AB54607"/>
    <w:rsid w:val="5AB741B0"/>
    <w:rsid w:val="5B035A3A"/>
    <w:rsid w:val="5B3421AF"/>
    <w:rsid w:val="5B7D1719"/>
    <w:rsid w:val="5B9E651D"/>
    <w:rsid w:val="5BE41C7F"/>
    <w:rsid w:val="5BFF1837"/>
    <w:rsid w:val="5C063D09"/>
    <w:rsid w:val="5C435B8D"/>
    <w:rsid w:val="5CC14841"/>
    <w:rsid w:val="5CD643C2"/>
    <w:rsid w:val="5D253771"/>
    <w:rsid w:val="5D3C5BA5"/>
    <w:rsid w:val="5DA1645E"/>
    <w:rsid w:val="5DAE345A"/>
    <w:rsid w:val="5DBB39A0"/>
    <w:rsid w:val="5DBE4F38"/>
    <w:rsid w:val="5E14229A"/>
    <w:rsid w:val="5E38554B"/>
    <w:rsid w:val="5E5431CD"/>
    <w:rsid w:val="5F2065C8"/>
    <w:rsid w:val="5F625760"/>
    <w:rsid w:val="5FEB4A4B"/>
    <w:rsid w:val="60315B4F"/>
    <w:rsid w:val="6051475F"/>
    <w:rsid w:val="611E6C1C"/>
    <w:rsid w:val="613D1EB7"/>
    <w:rsid w:val="61C61E38"/>
    <w:rsid w:val="61EE62B8"/>
    <w:rsid w:val="62331957"/>
    <w:rsid w:val="63213BB4"/>
    <w:rsid w:val="634D1122"/>
    <w:rsid w:val="63BA5678"/>
    <w:rsid w:val="63C45F36"/>
    <w:rsid w:val="64165519"/>
    <w:rsid w:val="643200F6"/>
    <w:rsid w:val="649D4B85"/>
    <w:rsid w:val="64CE046B"/>
    <w:rsid w:val="64D82E8B"/>
    <w:rsid w:val="653E7950"/>
    <w:rsid w:val="657451F0"/>
    <w:rsid w:val="65C32FE2"/>
    <w:rsid w:val="661F7A8A"/>
    <w:rsid w:val="66CE2C36"/>
    <w:rsid w:val="66D46B60"/>
    <w:rsid w:val="675A48DF"/>
    <w:rsid w:val="676770CE"/>
    <w:rsid w:val="679E2A0F"/>
    <w:rsid w:val="67FD322B"/>
    <w:rsid w:val="68A74C6B"/>
    <w:rsid w:val="69872FA0"/>
    <w:rsid w:val="69C7211C"/>
    <w:rsid w:val="69D70A50"/>
    <w:rsid w:val="69E34809"/>
    <w:rsid w:val="6A071B71"/>
    <w:rsid w:val="6AE05AA1"/>
    <w:rsid w:val="6B1E0678"/>
    <w:rsid w:val="6B487B7E"/>
    <w:rsid w:val="6B8F3DB5"/>
    <w:rsid w:val="6B997EDF"/>
    <w:rsid w:val="6BA50B91"/>
    <w:rsid w:val="6BC54056"/>
    <w:rsid w:val="6C57653C"/>
    <w:rsid w:val="6C8F263F"/>
    <w:rsid w:val="6D3323BC"/>
    <w:rsid w:val="6E0D279D"/>
    <w:rsid w:val="6E157149"/>
    <w:rsid w:val="6E1B7C7E"/>
    <w:rsid w:val="6E9D44F7"/>
    <w:rsid w:val="6EFF5CCE"/>
    <w:rsid w:val="6F7C56DB"/>
    <w:rsid w:val="707961D1"/>
    <w:rsid w:val="70A95BE0"/>
    <w:rsid w:val="70CF7EE0"/>
    <w:rsid w:val="70F00C1D"/>
    <w:rsid w:val="71052DB8"/>
    <w:rsid w:val="71346E5A"/>
    <w:rsid w:val="716B2491"/>
    <w:rsid w:val="71A343C4"/>
    <w:rsid w:val="72404633"/>
    <w:rsid w:val="728D7A35"/>
    <w:rsid w:val="72DC3B2E"/>
    <w:rsid w:val="72ED6B92"/>
    <w:rsid w:val="735D6752"/>
    <w:rsid w:val="73712CCC"/>
    <w:rsid w:val="739C3AEB"/>
    <w:rsid w:val="73A155A6"/>
    <w:rsid w:val="73F64CEB"/>
    <w:rsid w:val="741C16EF"/>
    <w:rsid w:val="743531C2"/>
    <w:rsid w:val="743B3E91"/>
    <w:rsid w:val="74631C62"/>
    <w:rsid w:val="7473D72F"/>
    <w:rsid w:val="74807F03"/>
    <w:rsid w:val="749704B3"/>
    <w:rsid w:val="74E50822"/>
    <w:rsid w:val="751C7E3C"/>
    <w:rsid w:val="75A22D1B"/>
    <w:rsid w:val="75A47394"/>
    <w:rsid w:val="76A91457"/>
    <w:rsid w:val="7773491F"/>
    <w:rsid w:val="77775FE6"/>
    <w:rsid w:val="77DD70DB"/>
    <w:rsid w:val="77FD2A7C"/>
    <w:rsid w:val="784B4258"/>
    <w:rsid w:val="78A92BB3"/>
    <w:rsid w:val="78B574BE"/>
    <w:rsid w:val="78BF19EB"/>
    <w:rsid w:val="78FB4BB6"/>
    <w:rsid w:val="79043F06"/>
    <w:rsid w:val="79993017"/>
    <w:rsid w:val="79A128CE"/>
    <w:rsid w:val="79DE2FF1"/>
    <w:rsid w:val="79F929A6"/>
    <w:rsid w:val="7A023F6B"/>
    <w:rsid w:val="7A7226AF"/>
    <w:rsid w:val="7A971365"/>
    <w:rsid w:val="7AE837E3"/>
    <w:rsid w:val="7AEF51CB"/>
    <w:rsid w:val="7B081C9A"/>
    <w:rsid w:val="7B0C1162"/>
    <w:rsid w:val="7B344CA7"/>
    <w:rsid w:val="7BAF49F6"/>
    <w:rsid w:val="7BBC107B"/>
    <w:rsid w:val="7BDB4D25"/>
    <w:rsid w:val="7C304413"/>
    <w:rsid w:val="7C3A13FB"/>
    <w:rsid w:val="7C3B5127"/>
    <w:rsid w:val="7C6730DA"/>
    <w:rsid w:val="7D750B61"/>
    <w:rsid w:val="7D9B6771"/>
    <w:rsid w:val="7DBD7C50"/>
    <w:rsid w:val="7E0B3EED"/>
    <w:rsid w:val="7E5C2B1F"/>
    <w:rsid w:val="7EC40F71"/>
    <w:rsid w:val="7EF37C31"/>
    <w:rsid w:val="7F056143"/>
    <w:rsid w:val="7F362E0C"/>
    <w:rsid w:val="7F3A6B56"/>
    <w:rsid w:val="7F3C7129"/>
    <w:rsid w:val="7F413799"/>
    <w:rsid w:val="7F7F5721"/>
    <w:rsid w:val="7F7FA18A"/>
    <w:rsid w:val="7FBE329C"/>
    <w:rsid w:val="7FC3364F"/>
    <w:rsid w:val="7FD40BD5"/>
    <w:rsid w:val="B8FF4543"/>
    <w:rsid w:val="FF1CC7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ody Text Indent"/>
    <w:basedOn w:val="1"/>
    <w:link w:val="17"/>
    <w:qFormat/>
    <w:uiPriority w:val="0"/>
    <w:pPr>
      <w:spacing w:after="120"/>
      <w:ind w:left="420" w:leftChars="200"/>
    </w:p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Autospacing="1" w:afterAutospacing="1"/>
      <w:jc w:val="left"/>
    </w:pPr>
    <w:rPr>
      <w:rFonts w:cs="Times New Roman"/>
      <w:kern w:val="0"/>
      <w:sz w:val="24"/>
    </w:rPr>
  </w:style>
  <w:style w:type="paragraph" w:styleId="9">
    <w:name w:val="Body Text First Indent 2"/>
    <w:basedOn w:val="3"/>
    <w:next w:val="1"/>
    <w:link w:val="18"/>
    <w:qFormat/>
    <w:uiPriority w:val="0"/>
    <w:pPr>
      <w:adjustRightInd w:val="0"/>
      <w:ind w:left="0" w:leftChars="0" w:firstLine="880" w:firstLineChars="200"/>
    </w:pPr>
    <w:rPr>
      <w:rFonts w:ascii="Calibri" w:hAnsi="Calibri" w:eastAsia="仿宋" w:cs="Times New Roman"/>
      <w:sz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4"/>
    <w:qFormat/>
    <w:uiPriority w:val="0"/>
    <w:rPr>
      <w:rFonts w:asciiTheme="minorHAnsi" w:hAnsiTheme="minorHAnsi" w:eastAsiaTheme="minorEastAsia" w:cstheme="minorBidi"/>
      <w:kern w:val="2"/>
      <w:sz w:val="18"/>
      <w:szCs w:val="18"/>
    </w:rPr>
  </w:style>
  <w:style w:type="character" w:customStyle="1" w:styleId="17">
    <w:name w:val="正文文本缩进 Char"/>
    <w:basedOn w:val="11"/>
    <w:link w:val="3"/>
    <w:qFormat/>
    <w:uiPriority w:val="0"/>
    <w:rPr>
      <w:rFonts w:asciiTheme="minorHAnsi" w:hAnsiTheme="minorHAnsi" w:eastAsiaTheme="minorEastAsia" w:cstheme="minorBidi"/>
      <w:kern w:val="2"/>
      <w:sz w:val="21"/>
      <w:szCs w:val="22"/>
    </w:rPr>
  </w:style>
  <w:style w:type="character" w:customStyle="1" w:styleId="18">
    <w:name w:val="正文首行缩进 2 Char"/>
    <w:basedOn w:val="17"/>
    <w:link w:val="9"/>
    <w:qFormat/>
    <w:uiPriority w:val="0"/>
    <w:rPr>
      <w:rFonts w:ascii="Calibri" w:hAnsi="Calibri" w:eastAsia="仿宋" w:cstheme="minorBidi"/>
      <w:kern w:val="2"/>
      <w:sz w:val="32"/>
      <w:szCs w:val="22"/>
    </w:rPr>
  </w:style>
  <w:style w:type="paragraph" w:customStyle="1" w:styleId="19">
    <w:name w:val="列出段落2"/>
    <w:basedOn w:val="1"/>
    <w:qFormat/>
    <w:uiPriority w:val="34"/>
    <w:pPr>
      <w:ind w:firstLine="420" w:firstLineChars="200"/>
    </w:pPr>
  </w:style>
  <w:style w:type="paragraph" w:styleId="20">
    <w:name w:val="List Paragraph"/>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a451516d-dce0-435a-ad65-367542b2cca1</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的问题。</item>
      </candidateList>
      <explain xmlns="http://schemas.wps.cn/vas-ai-hub/contract-review">句子中可能存在主谓宾、修饰语或者必要的词语残缺。</explain>
      <paraID xmlns="http://schemas.wps.cn/vas-ai-hub/contract-review">284F6371</paraID>
      <start xmlns="http://schemas.wps.cn/vas-ai-hub/contract-review">267</start>
      <end xmlns="http://schemas.wps.cn/vas-ai-hub/contract-review">268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62f9b743-2e0c-4e30-a9f2-dc4ec472ea32</errorID>
      <errorWord xmlns="http://schemas.wps.cn/vas-ai-hub/contract-review">标的原因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标</item>
      </candidateList>
      <explain xmlns="http://schemas.wps.cn/vas-ai-hub/contract-review">句子中可能存在两种以上的句法结构，导致结构混乱。</explain>
      <paraID xmlns="http://schemas.wps.cn/vas-ai-hub/contract-review">7147B5D7</paraID>
      <start xmlns="http://schemas.wps.cn/vas-ai-hub/contract-review">357</start>
      <end xmlns="http://schemas.wps.cn/vas-ai-hub/contract-review">361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23824949-dd21-4442-a10a-f3ecf92cd2df</errorID>
      <errorWord xmlns="http://schemas.wps.cn/vas-ai-hub/contract-review">标的原因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标</item>
      </candidateList>
      <explain xmlns="http://schemas.wps.cn/vas-ai-hub/contract-review">句子中可能存在两种以上的句法结构，导致结构混乱。</explain>
      <paraID xmlns="http://schemas.wps.cn/vas-ai-hub/contract-review">23EDA076</paraID>
      <start xmlns="http://schemas.wps.cn/vas-ai-hub/contract-review">246</start>
      <end xmlns="http://schemas.wps.cn/vas-ai-hub/contract-review">250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b79a1c8b-3781-44fd-8108-8417d7ad7754</errorID>
      <errorWord xmlns="http://schemas.wps.cn/vas-ai-hub/contract-review">硫磺熏蒸</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硫黄熏蒸</item>
      </candidateList>
      <explain xmlns="http://schemas.wps.cn/vas-ai-hub/contract-review">词汇[硫磺熏蒸]为不规范表述或旧称，其规范书面表述为[硫黄熏蒸]。</explain>
      <paraID xmlns="http://schemas.wps.cn/vas-ai-hub/contract-review">23EDA076</paraID>
      <start xmlns="http://schemas.wps.cn/vas-ai-hub/contract-review">304</start>
      <end xmlns="http://schemas.wps.cn/vas-ai-hub/contract-review">308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bcedb6b6-a8b8-474f-af19-8649c68f3afc</errorID>
      <errorWord xmlns="http://schemas.wps.cn/vas-ai-hub/contract-review">物</errorWord>
      <group xmlns="http://schemas.wps.cn/vas-ai-hub/contract-review">L1_Grammar</group>
      <groupName xmlns="http://schemas.wps.cn/vas-ai-hub/contract-review">语法问题</groupName>
      <ability xmlns="http://schemas.wps.cn/vas-ai-hub/contract-review">L2_Collocation</ability>
      <abilityName xmlns="http://schemas.wps.cn/vas-ai-hub/contract-review">搭配不当</abilityName>
      <candidateList xmlns="http://schemas.wps.cn/vas-ai-hub/contract-review">
        <item xmlns="http://schemas.wps.cn/vas-ai-hub/contract-review">化学物</item>
      </candidateList>
      <explain xmlns="http://schemas.wps.cn/vas-ai-hub/contract-review">句子中可能存在主谓、动宾、定语中心语、状语中心语、补语中心语、关联词搭配不当等问题。</explain>
      <paraID xmlns="http://schemas.wps.cn/vas-ai-hub/contract-review">1D9E8EFC</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c78c4bfe-57a1-4938-afc3-c40949bff458</errorID>
      <errorWord xmlns="http://schemas.wps.cn/vas-ai-hub/contract-review">。</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的问题。</item>
      </candidateList>
      <explain xmlns="http://schemas.wps.cn/vas-ai-hub/contract-review">句子中可能存在主谓宾、修饰语或者必要的词语残缺。</explain>
      <paraID xmlns="http://schemas.wps.cn/vas-ai-hub/contract-review"> B19CCE2</paraID>
      <start xmlns="http://schemas.wps.cn/vas-ai-hub/contract-review">83</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b2df5acd-a193-4d25-8e56-af8bd254de2e</errorID>
      <errorWord xmlns="http://schemas.wps.cn/vas-ai-hub/contract-review">条件致病菌</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机会致病菌</item>
      </candidateList>
      <explain xmlns="http://schemas.wps.cn/vas-ai-hub/contract-review">医学名词[条件致病菌]为不规范表述或旧称，其规范书面表述为[机会致病菌]。</explain>
      <paraID xmlns="http://schemas.wps.cn/vas-ai-hub/contract-review">60DE9850</paraID>
      <start xmlns="http://schemas.wps.cn/vas-ai-hub/contract-review">75</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31fc1252-bd7b-4032-a0f5-0598870b0fa4</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5C0FD1C8</paraID>
      <start xmlns="http://schemas.wps.cn/vas-ai-hub/contract-review">271</start>
      <end xmlns="http://schemas.wps.cn/vas-ai-hub/contract-review">272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f35ef534-ecd2-436a-ae09-78d9bb764d2b</errorID>
      <errorWord xmlns="http://schemas.wps.cn/vas-ai-hub/contract-review">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业在</item>
      </candidateList>
      <explain xmlns="http://schemas.wps.cn/vas-ai-hub/contract-review"/>
      <paraID xmlns="http://schemas.wps.cn/vas-ai-hub/contract-review">5C0FD1C8</paraID>
      <start xmlns="http://schemas.wps.cn/vas-ai-hub/contract-review">273</start>
      <end xmlns="http://schemas.wps.cn/vas-ai-hub/contract-review">274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ed4e65df-90dd-4414-b06b-fcced24ccdb4</errorID>
      <errorWord xmlns="http://schemas.wps.cn/vas-ai-hub/contract-review">葵花籽</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葵花子</item>
      </candidateList>
      <explain xmlns="http://schemas.wps.cn/vas-ai-hub/contract-review"/>
      <paraID xmlns="http://schemas.wps.cn/vas-ai-hub/contract-review">73A61272</paraID>
      <start xmlns="http://schemas.wps.cn/vas-ai-hub/contract-review">155</start>
      <end xmlns="http://schemas.wps.cn/vas-ai-hub/contract-review">158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5b2b4e55-ccb2-4ca3-9e27-581769fbd2d1</errorID>
      <errorWord xmlns="http://schemas.wps.cn/vas-ai-hub/contract-review">干眼症</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眼干燥症</item>
      </candidateList>
      <explain xmlns="http://schemas.wps.cn/vas-ai-hub/contract-review">医学名词[干眼症]为不规范表述或旧称，其规范书面表述为[眼干燥症]。</explain>
      <paraID xmlns="http://schemas.wps.cn/vas-ai-hub/contract-review">1082C820</paraID>
      <start xmlns="http://schemas.wps.cn/vas-ai-hub/contract-review">62</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f3e45b30-ae51-4802-a5fa-87f66d74921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9052</Words>
  <Characters>9949</Characters>
  <Lines>9</Lines>
  <Paragraphs>2</Paragraphs>
  <TotalTime>5</TotalTime>
  <ScaleCrop>false</ScaleCrop>
  <LinksUpToDate>false</LinksUpToDate>
  <CharactersWithSpaces>10052</CharactersWithSpaces>
  <Application>WPS Office_11.8.0.12357_F1E327BC-269C-435d-A152-05C5408002CA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2021-01-13T01:57:00Z</dcterms:created>
  <dc:creator>ywk-rx</dc:creator>
  <cp:lastModifiedBy>oa</cp:lastModifiedBy>
  <cp:lastPrinted>2024-06-13T06:27:00Z</cp:lastPrinted>
  <dcterms:modified xsi:type="dcterms:W3CDTF">2026-09-14T18:02:52Z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2052-11.8.0.12357</vt:lpwstr>
  </property>
  <property fmtid="{D5CDD505-2E9C-101B-9397-08002B2CF9AE}" pid="3" name="ICV">
    <vt:lpwstr>43884F3540CB8645F887966A8A74209B</vt:lpwstr>
  </property>
  <property fmtid="{D5CDD505-2E9C-101B-9397-08002B2CF9AE}" pid="4" name="KSOTemplateDocerSaveRecord">
    <vt:lpwstr>eyJoZGlkIjoiMTg1Nzk0NGJjYjlhZTdmZjU0YmM5NTY3ODhkYTUwMzciLCJ1c2VySWQiOiI2NDk3NTE4MjIifQ==</vt:lpwstr>
  </property>
</Properties>
</file>